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A242" w14:textId="77777777" w:rsidR="001C2189" w:rsidRPr="005A1AA0" w:rsidRDefault="001C2189" w:rsidP="001C2189">
      <w:pPr>
        <w:pStyle w:val="Telobesedila1"/>
        <w:spacing w:line="240" w:lineRule="auto"/>
        <w:ind w:left="142"/>
        <w:rPr>
          <w:rFonts w:cs="Arial"/>
          <w:sz w:val="20"/>
          <w:szCs w:val="20"/>
        </w:rPr>
      </w:pPr>
      <w:r w:rsidRPr="005A1AA0">
        <w:rPr>
          <w:rFonts w:cs="Arial"/>
          <w:sz w:val="20"/>
          <w:szCs w:val="20"/>
        </w:rPr>
        <w:t>GRADIVO ZA NOVINARJE</w:t>
      </w:r>
    </w:p>
    <w:p w14:paraId="1B957F3E" w14:textId="3FEFF0F4" w:rsidR="001C2189" w:rsidRPr="005A1AA0" w:rsidRDefault="001C2189" w:rsidP="001C2189">
      <w:pPr>
        <w:pStyle w:val="Telobesedila1"/>
        <w:spacing w:line="240" w:lineRule="auto"/>
        <w:ind w:left="142"/>
        <w:rPr>
          <w:rFonts w:cs="Arial"/>
          <w:sz w:val="20"/>
          <w:szCs w:val="20"/>
        </w:rPr>
      </w:pPr>
      <w:r w:rsidRPr="005A1AA0">
        <w:rPr>
          <w:rFonts w:cs="Arial"/>
          <w:sz w:val="20"/>
          <w:szCs w:val="20"/>
        </w:rPr>
        <w:t xml:space="preserve">Ljubljana, </w:t>
      </w:r>
      <w:r w:rsidR="00A4173B">
        <w:rPr>
          <w:rFonts w:cs="Arial"/>
          <w:sz w:val="20"/>
          <w:szCs w:val="20"/>
        </w:rPr>
        <w:t>2</w:t>
      </w:r>
      <w:r w:rsidR="0008082E">
        <w:rPr>
          <w:rFonts w:cs="Arial"/>
          <w:sz w:val="20"/>
          <w:szCs w:val="20"/>
        </w:rPr>
        <w:t>9</w:t>
      </w:r>
      <w:r w:rsidRPr="005A1AA0">
        <w:rPr>
          <w:rFonts w:cs="Arial"/>
          <w:sz w:val="20"/>
          <w:szCs w:val="20"/>
        </w:rPr>
        <w:t>.</w:t>
      </w:r>
      <w:r>
        <w:rPr>
          <w:rFonts w:cs="Arial"/>
          <w:sz w:val="20"/>
          <w:szCs w:val="20"/>
        </w:rPr>
        <w:t xml:space="preserve"> </w:t>
      </w:r>
      <w:r w:rsidRPr="005A1AA0">
        <w:rPr>
          <w:rFonts w:cs="Arial"/>
          <w:sz w:val="20"/>
          <w:szCs w:val="20"/>
        </w:rPr>
        <w:t>1.</w:t>
      </w:r>
      <w:r>
        <w:rPr>
          <w:rFonts w:cs="Arial"/>
          <w:sz w:val="20"/>
          <w:szCs w:val="20"/>
        </w:rPr>
        <w:t xml:space="preserve"> </w:t>
      </w:r>
      <w:r w:rsidRPr="005A1AA0">
        <w:rPr>
          <w:rFonts w:cs="Arial"/>
          <w:sz w:val="20"/>
          <w:szCs w:val="20"/>
        </w:rPr>
        <w:t>20</w:t>
      </w:r>
      <w:r>
        <w:rPr>
          <w:rFonts w:cs="Arial"/>
          <w:sz w:val="20"/>
          <w:szCs w:val="20"/>
        </w:rPr>
        <w:t>2</w:t>
      </w:r>
      <w:r w:rsidR="0008082E">
        <w:rPr>
          <w:rFonts w:cs="Arial"/>
          <w:sz w:val="20"/>
          <w:szCs w:val="20"/>
        </w:rPr>
        <w:t>4</w:t>
      </w:r>
    </w:p>
    <w:p w14:paraId="1139A5EC" w14:textId="39259890" w:rsidR="001B4A2E" w:rsidRDefault="001C2189" w:rsidP="002647DD">
      <w:pPr>
        <w:pStyle w:val="Telobesedila20"/>
        <w:spacing w:line="240" w:lineRule="auto"/>
        <w:ind w:left="142"/>
        <w:rPr>
          <w:rFonts w:cs="Calibri"/>
          <w:b/>
          <w:sz w:val="28"/>
          <w:szCs w:val="28"/>
        </w:rPr>
      </w:pPr>
      <w:r w:rsidRPr="005A1AA0">
        <w:rPr>
          <w:rFonts w:cs="Arial"/>
          <w:sz w:val="20"/>
          <w:szCs w:val="20"/>
        </w:rPr>
        <w:t>PR-ZZZS-</w:t>
      </w:r>
      <w:r w:rsidR="0008082E">
        <w:rPr>
          <w:rFonts w:cs="Arial"/>
          <w:sz w:val="20"/>
          <w:szCs w:val="20"/>
        </w:rPr>
        <w:t>1</w:t>
      </w:r>
      <w:r w:rsidRPr="005A1AA0">
        <w:rPr>
          <w:rFonts w:cs="Arial"/>
          <w:sz w:val="20"/>
          <w:szCs w:val="20"/>
        </w:rPr>
        <w:t>/20</w:t>
      </w:r>
      <w:r>
        <w:rPr>
          <w:rFonts w:cs="Arial"/>
          <w:sz w:val="20"/>
          <w:szCs w:val="20"/>
        </w:rPr>
        <w:t>2</w:t>
      </w:r>
      <w:r w:rsidR="0008082E">
        <w:rPr>
          <w:rFonts w:cs="Arial"/>
          <w:sz w:val="20"/>
          <w:szCs w:val="20"/>
        </w:rPr>
        <w:t>4</w:t>
      </w:r>
    </w:p>
    <w:p w14:paraId="619EDD06" w14:textId="77777777" w:rsidR="002647DD" w:rsidRDefault="002647DD" w:rsidP="00A240A2">
      <w:pPr>
        <w:pStyle w:val="Telobesedila"/>
        <w:spacing w:line="280" w:lineRule="exact"/>
        <w:jc w:val="center"/>
        <w:rPr>
          <w:rFonts w:asciiTheme="minorHAnsi" w:hAnsiTheme="minorHAnsi" w:cs="Arial"/>
          <w:b/>
          <w:color w:val="FF0000"/>
          <w:sz w:val="32"/>
          <w:szCs w:val="32"/>
        </w:rPr>
      </w:pPr>
    </w:p>
    <w:p w14:paraId="3A991A73" w14:textId="398CD561" w:rsidR="00A240A2" w:rsidRPr="00BA0B09" w:rsidRDefault="00A240A2" w:rsidP="00FE476B">
      <w:pPr>
        <w:pStyle w:val="Telobesedila"/>
        <w:spacing w:line="240" w:lineRule="auto"/>
        <w:jc w:val="center"/>
        <w:rPr>
          <w:rFonts w:asciiTheme="minorHAnsi" w:hAnsiTheme="minorHAnsi" w:cs="Arial"/>
          <w:b/>
          <w:sz w:val="32"/>
          <w:szCs w:val="32"/>
        </w:rPr>
      </w:pPr>
      <w:r w:rsidRPr="00BA0B09">
        <w:rPr>
          <w:rFonts w:asciiTheme="minorHAnsi" w:hAnsiTheme="minorHAnsi" w:cs="Arial"/>
          <w:b/>
          <w:sz w:val="32"/>
          <w:szCs w:val="32"/>
        </w:rPr>
        <w:t>ZZZS</w:t>
      </w:r>
      <w:r w:rsidR="00C02021" w:rsidRPr="00BA0B09">
        <w:rPr>
          <w:rFonts w:asciiTheme="minorHAnsi" w:hAnsiTheme="minorHAnsi" w:cs="Arial"/>
          <w:b/>
          <w:sz w:val="32"/>
          <w:szCs w:val="32"/>
        </w:rPr>
        <w:t xml:space="preserve"> v letu 20</w:t>
      </w:r>
      <w:r w:rsidR="002647DD" w:rsidRPr="00BA0B09">
        <w:rPr>
          <w:rFonts w:asciiTheme="minorHAnsi" w:hAnsiTheme="minorHAnsi" w:cs="Arial"/>
          <w:b/>
          <w:sz w:val="32"/>
          <w:szCs w:val="32"/>
        </w:rPr>
        <w:t>2</w:t>
      </w:r>
      <w:r w:rsidR="0008082E">
        <w:rPr>
          <w:rFonts w:asciiTheme="minorHAnsi" w:hAnsiTheme="minorHAnsi" w:cs="Arial"/>
          <w:b/>
          <w:sz w:val="32"/>
          <w:szCs w:val="32"/>
        </w:rPr>
        <w:t>3</w:t>
      </w:r>
      <w:r w:rsidRPr="00BA0B09">
        <w:rPr>
          <w:rFonts w:asciiTheme="minorHAnsi" w:hAnsiTheme="minorHAnsi" w:cs="Arial"/>
          <w:b/>
          <w:sz w:val="32"/>
          <w:szCs w:val="32"/>
        </w:rPr>
        <w:t xml:space="preserve"> zagotavljal nemoteno financiranje pravic</w:t>
      </w:r>
      <w:r w:rsidR="00FE476B">
        <w:rPr>
          <w:rFonts w:asciiTheme="minorHAnsi" w:hAnsiTheme="minorHAnsi" w:cs="Arial"/>
          <w:b/>
          <w:sz w:val="32"/>
          <w:szCs w:val="32"/>
        </w:rPr>
        <w:t xml:space="preserve"> </w:t>
      </w:r>
      <w:r w:rsidRPr="00BA0B09">
        <w:rPr>
          <w:rFonts w:asciiTheme="minorHAnsi" w:hAnsiTheme="minorHAnsi" w:cs="Arial"/>
          <w:b/>
          <w:sz w:val="32"/>
          <w:szCs w:val="32"/>
        </w:rPr>
        <w:t xml:space="preserve">iz obveznega zdravstvenega zavarovanja, vendar s primanjkljajem prihodkov nad odhodki, ki </w:t>
      </w:r>
      <w:r w:rsidR="00BA0B09">
        <w:rPr>
          <w:rFonts w:asciiTheme="minorHAnsi" w:hAnsiTheme="minorHAnsi" w:cs="Arial"/>
          <w:b/>
          <w:sz w:val="32"/>
          <w:szCs w:val="32"/>
        </w:rPr>
        <w:t xml:space="preserve">pa </w:t>
      </w:r>
      <w:r w:rsidRPr="00BA0B09">
        <w:rPr>
          <w:rFonts w:asciiTheme="minorHAnsi" w:hAnsiTheme="minorHAnsi" w:cs="Arial"/>
          <w:b/>
          <w:sz w:val="32"/>
          <w:szCs w:val="32"/>
        </w:rPr>
        <w:t>ga je pokril z lastnimi viri</w:t>
      </w:r>
    </w:p>
    <w:p w14:paraId="19D09152" w14:textId="77777777" w:rsidR="00A240A2" w:rsidRDefault="00A240A2" w:rsidP="00A240A2">
      <w:pPr>
        <w:pStyle w:val="Telobesedila"/>
        <w:spacing w:line="280" w:lineRule="exact"/>
        <w:jc w:val="center"/>
        <w:rPr>
          <w:rFonts w:asciiTheme="minorHAnsi" w:hAnsiTheme="minorHAnsi" w:cs="Arial"/>
          <w:b/>
          <w:color w:val="FF0000"/>
          <w:sz w:val="32"/>
          <w:szCs w:val="32"/>
        </w:rPr>
      </w:pPr>
    </w:p>
    <w:p w14:paraId="103824A9" w14:textId="504991E1" w:rsidR="00C02021" w:rsidRPr="00A17405" w:rsidRDefault="00C02021" w:rsidP="004135B1">
      <w:pPr>
        <w:pStyle w:val="Telobesedila1"/>
        <w:numPr>
          <w:ilvl w:val="0"/>
          <w:numId w:val="14"/>
        </w:numPr>
        <w:spacing w:line="240" w:lineRule="exact"/>
        <w:rPr>
          <w:rFonts w:ascii="Calibri" w:hAnsi="Calibri" w:cs="Arial"/>
          <w:b/>
        </w:rPr>
      </w:pPr>
      <w:r w:rsidRPr="00A17405">
        <w:rPr>
          <w:rFonts w:ascii="Calibri" w:hAnsi="Calibri" w:cs="Arial"/>
          <w:b/>
        </w:rPr>
        <w:t>Ocena finančnega poslovanja ZZZS v letu 20</w:t>
      </w:r>
      <w:r w:rsidR="00B605B3">
        <w:rPr>
          <w:rFonts w:ascii="Calibri" w:hAnsi="Calibri" w:cs="Arial"/>
          <w:b/>
        </w:rPr>
        <w:t>2</w:t>
      </w:r>
      <w:r w:rsidR="0008082E">
        <w:rPr>
          <w:rFonts w:ascii="Calibri" w:hAnsi="Calibri" w:cs="Arial"/>
          <w:b/>
        </w:rPr>
        <w:t>3</w:t>
      </w:r>
    </w:p>
    <w:p w14:paraId="237EBA77" w14:textId="77777777" w:rsidR="00B605B3" w:rsidRDefault="00B605B3" w:rsidP="004135B1">
      <w:pPr>
        <w:rPr>
          <w:rFonts w:asciiTheme="minorHAnsi" w:hAnsiTheme="minorHAnsi" w:cstheme="minorHAnsi"/>
        </w:rPr>
      </w:pPr>
    </w:p>
    <w:p w14:paraId="4E766F65" w14:textId="5B76D0A2" w:rsidR="00FE476B" w:rsidRPr="00FE476B" w:rsidRDefault="00FE476B" w:rsidP="004135B1">
      <w:pPr>
        <w:rPr>
          <w:rFonts w:asciiTheme="minorHAnsi" w:hAnsiTheme="minorHAnsi" w:cstheme="minorHAnsi"/>
        </w:rPr>
      </w:pPr>
      <w:r w:rsidRPr="00FE476B">
        <w:rPr>
          <w:rFonts w:asciiTheme="minorHAnsi" w:hAnsiTheme="minorHAnsi" w:cstheme="minorHAnsi"/>
        </w:rPr>
        <w:t xml:space="preserve">Spremenjene razmere poslovanja tekom leta 2023 so ponovno – kot že vrsto zadnjih let - odstopale od izhodišč, na katerih je temeljil Finančni načrt ZZZS za leto 2023, sprejet na Skupščini ZZZS decembra 2022. Te so predvsem posledica spremenjenih globalnih makroekonomskih izhodišč za leto 2023, učinkov Aneksa št. 1 k Splošnemu dogovoru za leto 2022, večjih finančnih učinkov ukrepov na področju plač in drugih stroškov dela v zdravstveni dejavnosti, večjih učinkov izvajanja Zakona o nujnih ukrepih za zagotovitev stabilnosti zdravstvenega sistema in Zakona o nujnih ukrepih za zajezitev širjenja in blaženja posledic nalezljive bolezni COVID-19 na področju zdravstva iz naslova zdravstvenih storitev nad rednim obsegom programa zdravstvene dejavnosti v letu 2023, učinkov </w:t>
      </w:r>
      <w:r w:rsidR="00B21A44">
        <w:rPr>
          <w:rFonts w:asciiTheme="minorHAnsi" w:hAnsiTheme="minorHAnsi" w:cstheme="minorHAnsi"/>
        </w:rPr>
        <w:t xml:space="preserve">vladne </w:t>
      </w:r>
      <w:r w:rsidRPr="00FE476B">
        <w:rPr>
          <w:rFonts w:asciiTheme="minorHAnsi" w:hAnsiTheme="minorHAnsi" w:cstheme="minorHAnsi"/>
        </w:rPr>
        <w:t xml:space="preserve">Uredbe o programih storitev obveznega zdravstvenega zavarovanja, zmogljivostih, potrebnih za njegovo izvajanje, in obsegu sredstev za leto 2023, ter zamika izvajanja nalog ZZZS za vzpostavitev pogojev za uvedbo dolgotrajne oskrbe v leto 2024. </w:t>
      </w:r>
    </w:p>
    <w:p w14:paraId="309C4784" w14:textId="77777777" w:rsidR="00FE476B" w:rsidRDefault="00FE476B" w:rsidP="004135B1">
      <w:pPr>
        <w:pStyle w:val="Telobesedila-zamik21"/>
        <w:spacing w:line="240" w:lineRule="exact"/>
        <w:ind w:firstLine="0"/>
        <w:rPr>
          <w:rFonts w:asciiTheme="minorHAnsi" w:hAnsiTheme="minorHAnsi" w:cstheme="minorHAnsi"/>
          <w:snapToGrid w:val="0"/>
          <w:color w:val="000000"/>
        </w:rPr>
      </w:pPr>
      <w:r w:rsidRPr="00046E4B">
        <w:rPr>
          <w:rFonts w:asciiTheme="minorHAnsi" w:hAnsiTheme="minorHAnsi" w:cstheme="minorHAnsi"/>
          <w:szCs w:val="22"/>
        </w:rPr>
        <w:t xml:space="preserve">Navedene spremembe </w:t>
      </w:r>
      <w:r>
        <w:rPr>
          <w:rFonts w:asciiTheme="minorHAnsi" w:hAnsiTheme="minorHAnsi" w:cstheme="minorHAnsi"/>
          <w:szCs w:val="22"/>
        </w:rPr>
        <w:t xml:space="preserve">so </w:t>
      </w:r>
      <w:r w:rsidRPr="00046E4B">
        <w:rPr>
          <w:rFonts w:asciiTheme="minorHAnsi" w:hAnsiTheme="minorHAnsi" w:cstheme="minorHAnsi"/>
          <w:szCs w:val="22"/>
        </w:rPr>
        <w:t>vpliva</w:t>
      </w:r>
      <w:r>
        <w:rPr>
          <w:rFonts w:asciiTheme="minorHAnsi" w:hAnsiTheme="minorHAnsi" w:cstheme="minorHAnsi"/>
          <w:szCs w:val="22"/>
        </w:rPr>
        <w:t>le</w:t>
      </w:r>
      <w:r w:rsidRPr="00046E4B">
        <w:rPr>
          <w:rFonts w:asciiTheme="minorHAnsi" w:hAnsiTheme="minorHAnsi" w:cstheme="minorHAnsi"/>
          <w:szCs w:val="22"/>
        </w:rPr>
        <w:t xml:space="preserve"> na povečanje </w:t>
      </w:r>
      <w:r>
        <w:rPr>
          <w:rFonts w:asciiTheme="minorHAnsi" w:hAnsiTheme="minorHAnsi" w:cstheme="minorHAnsi"/>
          <w:szCs w:val="22"/>
        </w:rPr>
        <w:t xml:space="preserve">načrtovanih </w:t>
      </w:r>
      <w:r w:rsidRPr="00046E4B">
        <w:rPr>
          <w:rFonts w:asciiTheme="minorHAnsi" w:hAnsiTheme="minorHAnsi" w:cstheme="minorHAnsi"/>
          <w:szCs w:val="22"/>
        </w:rPr>
        <w:t xml:space="preserve">prihodkov za 100 milijonov evrov in povečanje odhodkov za 104,9 milijona evrov </w:t>
      </w:r>
      <w:r>
        <w:rPr>
          <w:rFonts w:asciiTheme="minorHAnsi" w:hAnsiTheme="minorHAnsi" w:cstheme="minorHAnsi"/>
          <w:szCs w:val="22"/>
        </w:rPr>
        <w:t xml:space="preserve">v rebalansu finančnega načrta za leto 2023, ki ga je </w:t>
      </w:r>
      <w:r w:rsidRPr="00D94F92">
        <w:rPr>
          <w:rFonts w:asciiTheme="minorHAnsi" w:hAnsiTheme="minorHAnsi" w:cstheme="minorHAnsi"/>
          <w:snapToGrid w:val="0"/>
          <w:color w:val="000000"/>
        </w:rPr>
        <w:t>Skupščina</w:t>
      </w:r>
      <w:r>
        <w:rPr>
          <w:rFonts w:asciiTheme="minorHAnsi" w:hAnsiTheme="minorHAnsi" w:cstheme="minorHAnsi"/>
          <w:snapToGrid w:val="0"/>
          <w:color w:val="000000"/>
        </w:rPr>
        <w:t xml:space="preserve"> ZZZS</w:t>
      </w:r>
      <w:r w:rsidRPr="00D94F92">
        <w:rPr>
          <w:rFonts w:asciiTheme="minorHAnsi" w:hAnsiTheme="minorHAnsi" w:cstheme="minorHAnsi"/>
          <w:snapToGrid w:val="0"/>
          <w:color w:val="000000"/>
        </w:rPr>
        <w:t xml:space="preserve"> potrdila </w:t>
      </w:r>
      <w:r>
        <w:rPr>
          <w:rFonts w:asciiTheme="minorHAnsi" w:hAnsiTheme="minorHAnsi" w:cstheme="minorHAnsi"/>
          <w:snapToGrid w:val="0"/>
          <w:color w:val="000000"/>
        </w:rPr>
        <w:t>21. 11. 2023,</w:t>
      </w:r>
      <w:r w:rsidRPr="00D94F92">
        <w:rPr>
          <w:rFonts w:asciiTheme="minorHAnsi" w:hAnsiTheme="minorHAnsi" w:cstheme="minorHAnsi"/>
          <w:snapToGrid w:val="0"/>
          <w:color w:val="000000"/>
        </w:rPr>
        <w:t xml:space="preserve"> nanj pa je Vlada RS dala soglasje </w:t>
      </w:r>
      <w:r>
        <w:rPr>
          <w:rFonts w:asciiTheme="minorHAnsi" w:hAnsiTheme="minorHAnsi" w:cstheme="minorHAnsi"/>
          <w:snapToGrid w:val="0"/>
          <w:color w:val="000000"/>
        </w:rPr>
        <w:t>15</w:t>
      </w:r>
      <w:r w:rsidRPr="00725FDD">
        <w:rPr>
          <w:rFonts w:asciiTheme="minorHAnsi" w:hAnsiTheme="minorHAnsi" w:cstheme="minorHAnsi"/>
          <w:snapToGrid w:val="0"/>
          <w:color w:val="000000"/>
        </w:rPr>
        <w:t>. 1</w:t>
      </w:r>
      <w:r>
        <w:rPr>
          <w:rFonts w:asciiTheme="minorHAnsi" w:hAnsiTheme="minorHAnsi" w:cstheme="minorHAnsi"/>
          <w:snapToGrid w:val="0"/>
          <w:color w:val="000000"/>
        </w:rPr>
        <w:t>2</w:t>
      </w:r>
      <w:r w:rsidRPr="00725FDD">
        <w:rPr>
          <w:rFonts w:asciiTheme="minorHAnsi" w:hAnsiTheme="minorHAnsi" w:cstheme="minorHAnsi"/>
          <w:snapToGrid w:val="0"/>
          <w:color w:val="000000"/>
        </w:rPr>
        <w:t>. 202</w:t>
      </w:r>
      <w:r>
        <w:rPr>
          <w:rFonts w:asciiTheme="minorHAnsi" w:hAnsiTheme="minorHAnsi" w:cstheme="minorHAnsi"/>
          <w:snapToGrid w:val="0"/>
          <w:color w:val="000000"/>
        </w:rPr>
        <w:t xml:space="preserve">3. </w:t>
      </w:r>
      <w:r w:rsidRPr="00D94F92">
        <w:rPr>
          <w:rFonts w:asciiTheme="minorHAnsi" w:hAnsiTheme="minorHAnsi" w:cstheme="minorHAnsi"/>
          <w:snapToGrid w:val="0"/>
          <w:color w:val="000000"/>
        </w:rPr>
        <w:t xml:space="preserve">V rebalansu finančnega načrta znaša obseg prihodkov </w:t>
      </w:r>
      <w:r>
        <w:rPr>
          <w:rFonts w:asciiTheme="minorHAnsi" w:hAnsiTheme="minorHAnsi" w:cstheme="minorHAnsi"/>
          <w:snapToGrid w:val="0"/>
          <w:color w:val="000000"/>
        </w:rPr>
        <w:t>4</w:t>
      </w:r>
      <w:r w:rsidRPr="00D94F92">
        <w:rPr>
          <w:rFonts w:asciiTheme="minorHAnsi" w:hAnsiTheme="minorHAnsi" w:cstheme="minorHAnsi"/>
          <w:snapToGrid w:val="0"/>
          <w:color w:val="000000"/>
        </w:rPr>
        <w:t>.</w:t>
      </w:r>
      <w:r>
        <w:rPr>
          <w:rFonts w:asciiTheme="minorHAnsi" w:hAnsiTheme="minorHAnsi" w:cstheme="minorHAnsi"/>
          <w:snapToGrid w:val="0"/>
          <w:color w:val="000000"/>
        </w:rPr>
        <w:t>376,7</w:t>
      </w:r>
      <w:r w:rsidRPr="00D94F92">
        <w:rPr>
          <w:rFonts w:asciiTheme="minorHAnsi" w:hAnsiTheme="minorHAnsi" w:cstheme="minorHAnsi"/>
          <w:snapToGrid w:val="0"/>
          <w:color w:val="000000"/>
        </w:rPr>
        <w:t xml:space="preserve"> milijona evrov</w:t>
      </w:r>
      <w:r>
        <w:rPr>
          <w:rFonts w:asciiTheme="minorHAnsi" w:hAnsiTheme="minorHAnsi" w:cstheme="minorHAnsi"/>
          <w:snapToGrid w:val="0"/>
          <w:color w:val="000000"/>
        </w:rPr>
        <w:t xml:space="preserve">, </w:t>
      </w:r>
      <w:r w:rsidRPr="00D94F92">
        <w:rPr>
          <w:rFonts w:asciiTheme="minorHAnsi" w:hAnsiTheme="minorHAnsi" w:cstheme="minorHAnsi"/>
          <w:snapToGrid w:val="0"/>
          <w:color w:val="000000"/>
        </w:rPr>
        <w:t xml:space="preserve">obseg odhodkov </w:t>
      </w:r>
      <w:r>
        <w:rPr>
          <w:rFonts w:asciiTheme="minorHAnsi" w:hAnsiTheme="minorHAnsi" w:cstheme="minorHAnsi"/>
          <w:snapToGrid w:val="0"/>
          <w:color w:val="000000"/>
        </w:rPr>
        <w:t>4</w:t>
      </w:r>
      <w:r w:rsidRPr="00D94F92">
        <w:rPr>
          <w:rFonts w:asciiTheme="minorHAnsi" w:hAnsiTheme="minorHAnsi" w:cstheme="minorHAnsi"/>
          <w:snapToGrid w:val="0"/>
          <w:color w:val="000000"/>
        </w:rPr>
        <w:t>.</w:t>
      </w:r>
      <w:r>
        <w:rPr>
          <w:rFonts w:asciiTheme="minorHAnsi" w:hAnsiTheme="minorHAnsi" w:cstheme="minorHAnsi"/>
          <w:snapToGrid w:val="0"/>
          <w:color w:val="000000"/>
        </w:rPr>
        <w:t>430</w:t>
      </w:r>
      <w:r w:rsidRPr="00D94F92">
        <w:rPr>
          <w:rFonts w:asciiTheme="minorHAnsi" w:hAnsiTheme="minorHAnsi" w:cstheme="minorHAnsi"/>
          <w:snapToGrid w:val="0"/>
          <w:color w:val="000000"/>
        </w:rPr>
        <w:t xml:space="preserve"> milijonov evrov</w:t>
      </w:r>
      <w:r>
        <w:rPr>
          <w:rFonts w:asciiTheme="minorHAnsi" w:hAnsiTheme="minorHAnsi" w:cstheme="minorHAnsi"/>
          <w:snapToGrid w:val="0"/>
          <w:color w:val="000000"/>
        </w:rPr>
        <w:t xml:space="preserve"> (kar je </w:t>
      </w:r>
      <w:r w:rsidRPr="00D94F92">
        <w:rPr>
          <w:rFonts w:asciiTheme="minorHAnsi" w:hAnsiTheme="minorHAnsi" w:cstheme="minorHAnsi"/>
          <w:snapToGrid w:val="0"/>
          <w:color w:val="000000"/>
        </w:rPr>
        <w:t>v skladu z največjim obsegom izdatkov za zdravstveno blagajno za leto 202</w:t>
      </w:r>
      <w:r>
        <w:rPr>
          <w:rFonts w:asciiTheme="minorHAnsi" w:hAnsiTheme="minorHAnsi" w:cstheme="minorHAnsi"/>
          <w:snapToGrid w:val="0"/>
          <w:color w:val="000000"/>
        </w:rPr>
        <w:t xml:space="preserve">3, kot ga je določil Državni zbor RS v </w:t>
      </w:r>
      <w:r w:rsidRPr="00D94F92">
        <w:rPr>
          <w:rFonts w:asciiTheme="minorHAnsi" w:hAnsiTheme="minorHAnsi" w:cstheme="minorHAnsi"/>
          <w:snapToGrid w:val="0"/>
          <w:color w:val="000000"/>
        </w:rPr>
        <w:t>Odloku</w:t>
      </w:r>
      <w:r>
        <w:rPr>
          <w:rFonts w:asciiTheme="minorHAnsi" w:hAnsiTheme="minorHAnsi" w:cstheme="minorHAnsi"/>
          <w:snapToGrid w:val="0"/>
          <w:color w:val="000000"/>
        </w:rPr>
        <w:t xml:space="preserve"> o spremembah odloka</w:t>
      </w:r>
      <w:r w:rsidRPr="00D94F92">
        <w:rPr>
          <w:rFonts w:asciiTheme="minorHAnsi" w:hAnsiTheme="minorHAnsi" w:cstheme="minorHAnsi"/>
          <w:snapToGrid w:val="0"/>
          <w:color w:val="000000"/>
        </w:rPr>
        <w:t xml:space="preserve"> o okviru za pripravo proračunov sektorja država za obdobje od 202</w:t>
      </w:r>
      <w:r>
        <w:rPr>
          <w:rFonts w:asciiTheme="minorHAnsi" w:hAnsiTheme="minorHAnsi" w:cstheme="minorHAnsi"/>
          <w:snapToGrid w:val="0"/>
          <w:color w:val="000000"/>
        </w:rPr>
        <w:t>2</w:t>
      </w:r>
      <w:r w:rsidRPr="00D94F92">
        <w:rPr>
          <w:rFonts w:asciiTheme="minorHAnsi" w:hAnsiTheme="minorHAnsi" w:cstheme="minorHAnsi"/>
          <w:snapToGrid w:val="0"/>
          <w:color w:val="000000"/>
        </w:rPr>
        <w:t xml:space="preserve"> do 202</w:t>
      </w:r>
      <w:r>
        <w:rPr>
          <w:rFonts w:asciiTheme="minorHAnsi" w:hAnsiTheme="minorHAnsi" w:cstheme="minorHAnsi"/>
          <w:snapToGrid w:val="0"/>
          <w:color w:val="000000"/>
        </w:rPr>
        <w:t>4) in n</w:t>
      </w:r>
      <w:r w:rsidRPr="00D94F92">
        <w:rPr>
          <w:rFonts w:asciiTheme="minorHAnsi" w:hAnsiTheme="minorHAnsi" w:cstheme="minorHAnsi"/>
          <w:snapToGrid w:val="0"/>
          <w:color w:val="000000"/>
        </w:rPr>
        <w:t xml:space="preserve">ačrtovan </w:t>
      </w:r>
      <w:r>
        <w:rPr>
          <w:rFonts w:asciiTheme="minorHAnsi" w:hAnsiTheme="minorHAnsi" w:cstheme="minorHAnsi"/>
          <w:snapToGrid w:val="0"/>
          <w:color w:val="000000"/>
        </w:rPr>
        <w:t xml:space="preserve">primanjkljaj prihodkov </w:t>
      </w:r>
      <w:r w:rsidRPr="00D94F92">
        <w:rPr>
          <w:rFonts w:asciiTheme="minorHAnsi" w:hAnsiTheme="minorHAnsi" w:cstheme="minorHAnsi"/>
          <w:snapToGrid w:val="0"/>
          <w:color w:val="000000"/>
        </w:rPr>
        <w:t xml:space="preserve">nad </w:t>
      </w:r>
      <w:r>
        <w:rPr>
          <w:rFonts w:asciiTheme="minorHAnsi" w:hAnsiTheme="minorHAnsi" w:cstheme="minorHAnsi"/>
          <w:snapToGrid w:val="0"/>
          <w:color w:val="000000"/>
        </w:rPr>
        <w:t>odhodki v višini 53,2</w:t>
      </w:r>
      <w:r w:rsidRPr="00D94F92">
        <w:rPr>
          <w:rFonts w:asciiTheme="minorHAnsi" w:hAnsiTheme="minorHAnsi" w:cstheme="minorHAnsi"/>
          <w:snapToGrid w:val="0"/>
          <w:color w:val="000000"/>
        </w:rPr>
        <w:t xml:space="preserve"> milijona evrov</w:t>
      </w:r>
      <w:r>
        <w:rPr>
          <w:rFonts w:asciiTheme="minorHAnsi" w:hAnsiTheme="minorHAnsi" w:cstheme="minorHAnsi"/>
          <w:snapToGrid w:val="0"/>
          <w:color w:val="000000"/>
        </w:rPr>
        <w:t>.</w:t>
      </w:r>
      <w:r w:rsidRPr="00D94F92">
        <w:rPr>
          <w:rFonts w:asciiTheme="minorHAnsi" w:hAnsiTheme="minorHAnsi" w:cstheme="minorHAnsi"/>
          <w:snapToGrid w:val="0"/>
          <w:color w:val="000000"/>
        </w:rPr>
        <w:t xml:space="preserve"> </w:t>
      </w:r>
    </w:p>
    <w:p w14:paraId="767053EA" w14:textId="77777777" w:rsidR="00FE476B" w:rsidRPr="0033635C" w:rsidRDefault="00FE476B" w:rsidP="004135B1">
      <w:pPr>
        <w:pStyle w:val="Telobesedila-zamik21"/>
        <w:spacing w:line="240" w:lineRule="exact"/>
        <w:ind w:firstLine="0"/>
        <w:rPr>
          <w:rFonts w:asciiTheme="minorHAnsi" w:hAnsiTheme="minorHAnsi" w:cstheme="minorHAnsi"/>
          <w:szCs w:val="22"/>
        </w:rPr>
      </w:pPr>
    </w:p>
    <w:p w14:paraId="4E50245B" w14:textId="77777777" w:rsidR="00FE476B" w:rsidRDefault="00FE476B" w:rsidP="004135B1">
      <w:pPr>
        <w:pStyle w:val="Telobesedila-zamik21"/>
        <w:spacing w:line="240" w:lineRule="exact"/>
        <w:ind w:firstLine="0"/>
        <w:rPr>
          <w:rFonts w:asciiTheme="minorHAnsi" w:hAnsiTheme="minorHAnsi" w:cstheme="minorHAnsi"/>
          <w:szCs w:val="22"/>
        </w:rPr>
      </w:pPr>
      <w:r>
        <w:rPr>
          <w:rFonts w:asciiTheme="minorHAnsi" w:hAnsiTheme="minorHAnsi" w:cstheme="minorHAnsi"/>
          <w:szCs w:val="22"/>
        </w:rPr>
        <w:t xml:space="preserve">Prva ocena </w:t>
      </w:r>
      <w:r w:rsidRPr="006E3D9F">
        <w:rPr>
          <w:rFonts w:asciiTheme="minorHAnsi" w:hAnsiTheme="minorHAnsi" w:cstheme="minorHAnsi"/>
          <w:szCs w:val="22"/>
        </w:rPr>
        <w:t>finančne</w:t>
      </w:r>
      <w:r>
        <w:rPr>
          <w:rFonts w:asciiTheme="minorHAnsi" w:hAnsiTheme="minorHAnsi" w:cstheme="minorHAnsi"/>
          <w:szCs w:val="22"/>
        </w:rPr>
        <w:t>ga</w:t>
      </w:r>
      <w:r w:rsidRPr="006E3D9F">
        <w:rPr>
          <w:rFonts w:asciiTheme="minorHAnsi" w:hAnsiTheme="minorHAnsi" w:cstheme="minorHAnsi"/>
          <w:szCs w:val="22"/>
        </w:rPr>
        <w:t xml:space="preserve"> poslovanj</w:t>
      </w:r>
      <w:r>
        <w:rPr>
          <w:rFonts w:asciiTheme="minorHAnsi" w:hAnsiTheme="minorHAnsi" w:cstheme="minorHAnsi"/>
          <w:szCs w:val="22"/>
        </w:rPr>
        <w:t>a</w:t>
      </w:r>
      <w:r w:rsidRPr="006E3D9F">
        <w:rPr>
          <w:rFonts w:asciiTheme="minorHAnsi" w:hAnsiTheme="minorHAnsi" w:cstheme="minorHAnsi"/>
          <w:szCs w:val="22"/>
        </w:rPr>
        <w:t xml:space="preserve"> </w:t>
      </w:r>
      <w:r w:rsidRPr="00FE476B">
        <w:rPr>
          <w:rFonts w:asciiTheme="minorHAnsi" w:hAnsiTheme="minorHAnsi" w:cstheme="minorHAnsi"/>
          <w:b/>
          <w:bCs/>
          <w:szCs w:val="22"/>
        </w:rPr>
        <w:t xml:space="preserve">ZZZS </w:t>
      </w:r>
      <w:r w:rsidRPr="00F72263">
        <w:rPr>
          <w:rFonts w:asciiTheme="minorHAnsi" w:hAnsiTheme="minorHAnsi" w:cstheme="minorHAnsi"/>
          <w:b/>
          <w:bCs/>
          <w:szCs w:val="22"/>
        </w:rPr>
        <w:t>v letu 202</w:t>
      </w:r>
      <w:r>
        <w:rPr>
          <w:rFonts w:asciiTheme="minorHAnsi" w:hAnsiTheme="minorHAnsi" w:cstheme="minorHAnsi"/>
          <w:b/>
          <w:bCs/>
          <w:szCs w:val="22"/>
        </w:rPr>
        <w:t>3</w:t>
      </w:r>
      <w:r w:rsidRPr="00F72263">
        <w:rPr>
          <w:rFonts w:asciiTheme="minorHAnsi" w:hAnsiTheme="minorHAnsi" w:cstheme="minorHAnsi"/>
          <w:b/>
          <w:bCs/>
          <w:szCs w:val="22"/>
        </w:rPr>
        <w:t xml:space="preserve"> izkazuje primanjkljaj prihodkov nad odhodki v višini </w:t>
      </w:r>
      <w:r>
        <w:rPr>
          <w:rFonts w:asciiTheme="minorHAnsi" w:hAnsiTheme="minorHAnsi" w:cstheme="minorHAnsi"/>
          <w:b/>
          <w:bCs/>
          <w:szCs w:val="22"/>
        </w:rPr>
        <w:t>76,3</w:t>
      </w:r>
      <w:r w:rsidRPr="00F72263">
        <w:rPr>
          <w:rFonts w:asciiTheme="minorHAnsi" w:hAnsiTheme="minorHAnsi" w:cstheme="minorHAnsi"/>
          <w:b/>
          <w:bCs/>
          <w:szCs w:val="22"/>
        </w:rPr>
        <w:t xml:space="preserve"> milijona evrov</w:t>
      </w:r>
      <w:r>
        <w:rPr>
          <w:rFonts w:asciiTheme="minorHAnsi" w:hAnsiTheme="minorHAnsi" w:cstheme="minorHAnsi"/>
          <w:b/>
          <w:bCs/>
          <w:szCs w:val="22"/>
        </w:rPr>
        <w:t xml:space="preserve">, </w:t>
      </w:r>
      <w:r>
        <w:rPr>
          <w:rFonts w:asciiTheme="minorHAnsi" w:hAnsiTheme="minorHAnsi" w:cstheme="minorHAnsi"/>
          <w:szCs w:val="22"/>
        </w:rPr>
        <w:t xml:space="preserve">ki </w:t>
      </w:r>
      <w:r w:rsidRPr="00CE1FD6">
        <w:rPr>
          <w:rFonts w:asciiTheme="minorHAnsi" w:hAnsiTheme="minorHAnsi" w:cstheme="minorHAnsi"/>
          <w:szCs w:val="22"/>
        </w:rPr>
        <w:t xml:space="preserve">je </w:t>
      </w:r>
      <w:r>
        <w:rPr>
          <w:rFonts w:asciiTheme="minorHAnsi" w:hAnsiTheme="minorHAnsi" w:cstheme="minorHAnsi"/>
          <w:szCs w:val="22"/>
        </w:rPr>
        <w:t xml:space="preserve">bil </w:t>
      </w:r>
      <w:r w:rsidRPr="00CE1FD6">
        <w:rPr>
          <w:rFonts w:asciiTheme="minorHAnsi" w:hAnsiTheme="minorHAnsi" w:cstheme="minorHAnsi"/>
          <w:szCs w:val="22"/>
        </w:rPr>
        <w:t xml:space="preserve">v </w:t>
      </w:r>
      <w:r>
        <w:rPr>
          <w:rFonts w:asciiTheme="minorHAnsi" w:hAnsiTheme="minorHAnsi" w:cstheme="minorHAnsi"/>
          <w:szCs w:val="22"/>
        </w:rPr>
        <w:t xml:space="preserve">celoti </w:t>
      </w:r>
      <w:r w:rsidRPr="00CE1FD6">
        <w:rPr>
          <w:rFonts w:asciiTheme="minorHAnsi" w:hAnsiTheme="minorHAnsi" w:cstheme="minorHAnsi"/>
          <w:szCs w:val="22"/>
        </w:rPr>
        <w:t>pokrit z lastnimi viri.</w:t>
      </w:r>
      <w:r w:rsidRPr="00F72263">
        <w:rPr>
          <w:rFonts w:asciiTheme="minorHAnsi" w:hAnsiTheme="minorHAnsi" w:cstheme="minorHAnsi"/>
          <w:b/>
          <w:bCs/>
          <w:szCs w:val="22"/>
        </w:rPr>
        <w:t xml:space="preserve"> Prihodki so realizirani v višini </w:t>
      </w:r>
      <w:r>
        <w:rPr>
          <w:rFonts w:asciiTheme="minorHAnsi" w:hAnsiTheme="minorHAnsi" w:cstheme="minorHAnsi"/>
          <w:b/>
          <w:bCs/>
          <w:szCs w:val="22"/>
        </w:rPr>
        <w:t>4</w:t>
      </w:r>
      <w:r w:rsidRPr="00F72263">
        <w:rPr>
          <w:rFonts w:asciiTheme="minorHAnsi" w:hAnsiTheme="minorHAnsi" w:cstheme="minorHAnsi"/>
          <w:b/>
          <w:bCs/>
          <w:szCs w:val="22"/>
        </w:rPr>
        <w:t>.</w:t>
      </w:r>
      <w:r>
        <w:rPr>
          <w:rFonts w:asciiTheme="minorHAnsi" w:hAnsiTheme="minorHAnsi" w:cstheme="minorHAnsi"/>
          <w:b/>
          <w:bCs/>
          <w:szCs w:val="22"/>
        </w:rPr>
        <w:t>318</w:t>
      </w:r>
      <w:r w:rsidRPr="00F72263">
        <w:rPr>
          <w:rFonts w:asciiTheme="minorHAnsi" w:hAnsiTheme="minorHAnsi" w:cstheme="minorHAnsi"/>
          <w:b/>
          <w:bCs/>
          <w:szCs w:val="22"/>
        </w:rPr>
        <w:t>,</w:t>
      </w:r>
      <w:r>
        <w:rPr>
          <w:rFonts w:asciiTheme="minorHAnsi" w:hAnsiTheme="minorHAnsi" w:cstheme="minorHAnsi"/>
          <w:b/>
          <w:bCs/>
          <w:szCs w:val="22"/>
        </w:rPr>
        <w:t>4</w:t>
      </w:r>
      <w:r w:rsidRPr="00F72263">
        <w:rPr>
          <w:rFonts w:asciiTheme="minorHAnsi" w:hAnsiTheme="minorHAnsi" w:cstheme="minorHAnsi"/>
          <w:b/>
          <w:bCs/>
          <w:szCs w:val="22"/>
        </w:rPr>
        <w:t xml:space="preserve"> milijona evrov </w:t>
      </w:r>
      <w:r w:rsidRPr="00F72263">
        <w:rPr>
          <w:rFonts w:asciiTheme="minorHAnsi" w:hAnsiTheme="minorHAnsi" w:cstheme="minorHAnsi"/>
          <w:szCs w:val="22"/>
        </w:rPr>
        <w:t xml:space="preserve">in so za </w:t>
      </w:r>
      <w:r>
        <w:rPr>
          <w:rFonts w:asciiTheme="minorHAnsi" w:hAnsiTheme="minorHAnsi" w:cstheme="minorHAnsi"/>
          <w:szCs w:val="22"/>
        </w:rPr>
        <w:t>58,4</w:t>
      </w:r>
      <w:r w:rsidRPr="00F72263">
        <w:rPr>
          <w:rFonts w:asciiTheme="minorHAnsi" w:hAnsiTheme="minorHAnsi" w:cstheme="minorHAnsi"/>
          <w:szCs w:val="22"/>
        </w:rPr>
        <w:t xml:space="preserve"> milijon</w:t>
      </w:r>
      <w:r>
        <w:rPr>
          <w:rFonts w:asciiTheme="minorHAnsi" w:hAnsiTheme="minorHAnsi" w:cstheme="minorHAnsi"/>
          <w:szCs w:val="22"/>
        </w:rPr>
        <w:t>a</w:t>
      </w:r>
      <w:r w:rsidRPr="00F72263">
        <w:rPr>
          <w:rFonts w:asciiTheme="minorHAnsi" w:hAnsiTheme="minorHAnsi" w:cstheme="minorHAnsi"/>
          <w:szCs w:val="22"/>
        </w:rPr>
        <w:t xml:space="preserve"> evrov</w:t>
      </w:r>
      <w:r>
        <w:rPr>
          <w:rFonts w:asciiTheme="minorHAnsi" w:hAnsiTheme="minorHAnsi" w:cstheme="minorHAnsi"/>
          <w:szCs w:val="22"/>
        </w:rPr>
        <w:t xml:space="preserve"> manjši od </w:t>
      </w:r>
      <w:r w:rsidRPr="00F72263">
        <w:rPr>
          <w:rFonts w:asciiTheme="minorHAnsi" w:hAnsiTheme="minorHAnsi" w:cstheme="minorHAnsi"/>
          <w:szCs w:val="22"/>
        </w:rPr>
        <w:t>načrtovani</w:t>
      </w:r>
      <w:r>
        <w:rPr>
          <w:rFonts w:asciiTheme="minorHAnsi" w:hAnsiTheme="minorHAnsi" w:cstheme="minorHAnsi"/>
          <w:szCs w:val="22"/>
        </w:rPr>
        <w:t>h</w:t>
      </w:r>
      <w:r w:rsidRPr="00F72263">
        <w:rPr>
          <w:rFonts w:asciiTheme="minorHAnsi" w:hAnsiTheme="minorHAnsi" w:cstheme="minorHAnsi"/>
          <w:b/>
          <w:bCs/>
          <w:szCs w:val="22"/>
        </w:rPr>
        <w:t>, odhodki so realizirani v višini 4.</w:t>
      </w:r>
      <w:r>
        <w:rPr>
          <w:rFonts w:asciiTheme="minorHAnsi" w:hAnsiTheme="minorHAnsi" w:cstheme="minorHAnsi"/>
          <w:b/>
          <w:bCs/>
          <w:szCs w:val="22"/>
        </w:rPr>
        <w:t>394,7</w:t>
      </w:r>
      <w:r w:rsidRPr="00F72263">
        <w:rPr>
          <w:rFonts w:asciiTheme="minorHAnsi" w:hAnsiTheme="minorHAnsi" w:cstheme="minorHAnsi"/>
          <w:b/>
          <w:bCs/>
          <w:szCs w:val="22"/>
        </w:rPr>
        <w:t xml:space="preserve"> milijona </w:t>
      </w:r>
      <w:r w:rsidRPr="00DB4C7F">
        <w:rPr>
          <w:rFonts w:asciiTheme="minorHAnsi" w:hAnsiTheme="minorHAnsi" w:cstheme="minorHAnsi"/>
          <w:b/>
          <w:bCs/>
          <w:szCs w:val="22"/>
        </w:rPr>
        <w:t>evrov</w:t>
      </w:r>
      <w:r w:rsidRPr="00F72263">
        <w:rPr>
          <w:rFonts w:asciiTheme="minorHAnsi" w:hAnsiTheme="minorHAnsi" w:cstheme="minorHAnsi"/>
          <w:szCs w:val="22"/>
        </w:rPr>
        <w:t xml:space="preserve"> in so za </w:t>
      </w:r>
      <w:r>
        <w:rPr>
          <w:rFonts w:asciiTheme="minorHAnsi" w:hAnsiTheme="minorHAnsi" w:cstheme="minorHAnsi"/>
          <w:szCs w:val="22"/>
        </w:rPr>
        <w:t>35</w:t>
      </w:r>
      <w:r w:rsidRPr="00F72263">
        <w:rPr>
          <w:rFonts w:asciiTheme="minorHAnsi" w:hAnsiTheme="minorHAnsi" w:cstheme="minorHAnsi"/>
          <w:szCs w:val="22"/>
        </w:rPr>
        <w:t>,</w:t>
      </w:r>
      <w:r>
        <w:rPr>
          <w:rFonts w:asciiTheme="minorHAnsi" w:hAnsiTheme="minorHAnsi" w:cstheme="minorHAnsi"/>
          <w:szCs w:val="22"/>
        </w:rPr>
        <w:t>3</w:t>
      </w:r>
      <w:r w:rsidRPr="00F72263">
        <w:rPr>
          <w:rFonts w:asciiTheme="minorHAnsi" w:hAnsiTheme="minorHAnsi" w:cstheme="minorHAnsi"/>
          <w:szCs w:val="22"/>
        </w:rPr>
        <w:t xml:space="preserve"> milijona evrov pod načrtovanimi.  </w:t>
      </w:r>
    </w:p>
    <w:p w14:paraId="738F83B5" w14:textId="77777777" w:rsidR="00FE476B" w:rsidRDefault="00FE476B" w:rsidP="004135B1">
      <w:pPr>
        <w:pStyle w:val="Telobesedila-zamik21"/>
        <w:spacing w:line="240" w:lineRule="exact"/>
        <w:ind w:firstLine="0"/>
        <w:rPr>
          <w:rFonts w:asciiTheme="minorHAnsi" w:hAnsiTheme="minorHAnsi" w:cstheme="minorHAnsi"/>
          <w:szCs w:val="22"/>
        </w:rPr>
      </w:pPr>
    </w:p>
    <w:p w14:paraId="63BCAFFC" w14:textId="77777777" w:rsidR="00FE476B" w:rsidRDefault="00FE476B" w:rsidP="004135B1">
      <w:pPr>
        <w:pStyle w:val="Telobesedila-zamik21"/>
        <w:spacing w:line="240" w:lineRule="exact"/>
        <w:ind w:firstLine="0"/>
        <w:rPr>
          <w:rFonts w:asciiTheme="minorHAnsi" w:hAnsiTheme="minorHAnsi" w:cstheme="minorHAnsi"/>
          <w:i/>
          <w:iCs/>
          <w:szCs w:val="22"/>
        </w:rPr>
      </w:pPr>
      <w:r w:rsidRPr="00740A78">
        <w:rPr>
          <w:rFonts w:asciiTheme="minorHAnsi" w:hAnsiTheme="minorHAnsi" w:cstheme="minorHAnsi"/>
          <w:i/>
          <w:iCs/>
          <w:szCs w:val="22"/>
        </w:rPr>
        <w:t xml:space="preserve">Tabela 1: </w:t>
      </w:r>
      <w:r>
        <w:rPr>
          <w:rFonts w:asciiTheme="minorHAnsi" w:hAnsiTheme="minorHAnsi" w:cstheme="minorHAnsi"/>
          <w:i/>
          <w:iCs/>
          <w:szCs w:val="22"/>
        </w:rPr>
        <w:t>Poslovni r</w:t>
      </w:r>
      <w:r w:rsidRPr="00740A78">
        <w:rPr>
          <w:rFonts w:asciiTheme="minorHAnsi" w:hAnsiTheme="minorHAnsi" w:cstheme="minorHAnsi"/>
          <w:i/>
          <w:iCs/>
          <w:szCs w:val="22"/>
        </w:rPr>
        <w:t>ezultat</w:t>
      </w:r>
      <w:r>
        <w:rPr>
          <w:rFonts w:asciiTheme="minorHAnsi" w:hAnsiTheme="minorHAnsi" w:cstheme="minorHAnsi"/>
          <w:i/>
          <w:iCs/>
          <w:szCs w:val="22"/>
        </w:rPr>
        <w:t xml:space="preserve"> v</w:t>
      </w:r>
      <w:r w:rsidRPr="00740A78">
        <w:rPr>
          <w:rFonts w:asciiTheme="minorHAnsi" w:hAnsiTheme="minorHAnsi" w:cstheme="minorHAnsi"/>
          <w:i/>
          <w:iCs/>
          <w:szCs w:val="22"/>
        </w:rPr>
        <w:t xml:space="preserve"> letu 2023. </w:t>
      </w:r>
    </w:p>
    <w:p w14:paraId="58B852DA" w14:textId="77777777" w:rsidR="00FE476B" w:rsidRPr="00740A78" w:rsidRDefault="00FE476B" w:rsidP="004135B1">
      <w:pPr>
        <w:pStyle w:val="Telobesedila-zamik21"/>
        <w:spacing w:line="240" w:lineRule="exact"/>
        <w:ind w:firstLine="0"/>
        <w:rPr>
          <w:rFonts w:asciiTheme="minorHAnsi" w:hAnsiTheme="minorHAnsi" w:cstheme="minorHAnsi"/>
          <w:i/>
          <w:iCs/>
          <w:szCs w:val="22"/>
        </w:rPr>
      </w:pPr>
    </w:p>
    <w:tbl>
      <w:tblPr>
        <w:tblStyle w:val="Tabelamrea"/>
        <w:tblW w:w="0" w:type="auto"/>
        <w:tblLook w:val="04A0" w:firstRow="1" w:lastRow="0" w:firstColumn="1" w:lastColumn="0" w:noHBand="0" w:noVBand="1"/>
      </w:tblPr>
      <w:tblGrid>
        <w:gridCol w:w="2263"/>
        <w:gridCol w:w="2410"/>
      </w:tblGrid>
      <w:tr w:rsidR="00FE476B" w14:paraId="6A4CA2CE" w14:textId="77777777" w:rsidTr="00D22549">
        <w:tc>
          <w:tcPr>
            <w:tcW w:w="2263" w:type="dxa"/>
          </w:tcPr>
          <w:p w14:paraId="324F5C26" w14:textId="77777777" w:rsidR="00FE476B" w:rsidRDefault="00FE476B" w:rsidP="004135B1">
            <w:pPr>
              <w:pStyle w:val="Telobesedila-zamik21"/>
              <w:spacing w:line="240" w:lineRule="exact"/>
              <w:ind w:firstLine="0"/>
              <w:rPr>
                <w:rFonts w:asciiTheme="minorHAnsi" w:hAnsiTheme="minorHAnsi" w:cstheme="minorHAnsi"/>
                <w:szCs w:val="22"/>
              </w:rPr>
            </w:pPr>
            <w:r>
              <w:rPr>
                <w:rFonts w:asciiTheme="minorHAnsi" w:hAnsiTheme="minorHAnsi" w:cstheme="minorHAnsi"/>
                <w:szCs w:val="22"/>
              </w:rPr>
              <w:t>1. Prihodki</w:t>
            </w:r>
          </w:p>
        </w:tc>
        <w:tc>
          <w:tcPr>
            <w:tcW w:w="2410" w:type="dxa"/>
          </w:tcPr>
          <w:p w14:paraId="298EE750" w14:textId="77777777" w:rsidR="00FE476B" w:rsidRDefault="00FE476B" w:rsidP="004135B1">
            <w:pPr>
              <w:pStyle w:val="Telobesedila-zamik21"/>
              <w:spacing w:line="240" w:lineRule="exact"/>
              <w:ind w:firstLine="0"/>
              <w:rPr>
                <w:rFonts w:asciiTheme="minorHAnsi" w:hAnsiTheme="minorHAnsi" w:cstheme="minorHAnsi"/>
                <w:szCs w:val="22"/>
              </w:rPr>
            </w:pPr>
            <w:r>
              <w:rPr>
                <w:rFonts w:asciiTheme="minorHAnsi" w:hAnsiTheme="minorHAnsi" w:cstheme="minorHAnsi"/>
                <w:szCs w:val="22"/>
              </w:rPr>
              <w:t>4.318,4 milijona evrov</w:t>
            </w:r>
          </w:p>
        </w:tc>
      </w:tr>
      <w:tr w:rsidR="00FE476B" w14:paraId="2DD878F7" w14:textId="77777777" w:rsidTr="00D22549">
        <w:tc>
          <w:tcPr>
            <w:tcW w:w="2263" w:type="dxa"/>
          </w:tcPr>
          <w:p w14:paraId="190EA243" w14:textId="77777777" w:rsidR="00FE476B" w:rsidRDefault="00FE476B" w:rsidP="004135B1">
            <w:pPr>
              <w:pStyle w:val="Telobesedila-zamik21"/>
              <w:spacing w:line="240" w:lineRule="exact"/>
              <w:ind w:firstLine="0"/>
              <w:rPr>
                <w:rFonts w:asciiTheme="minorHAnsi" w:hAnsiTheme="minorHAnsi" w:cstheme="minorHAnsi"/>
                <w:szCs w:val="22"/>
              </w:rPr>
            </w:pPr>
            <w:r>
              <w:rPr>
                <w:rFonts w:asciiTheme="minorHAnsi" w:hAnsiTheme="minorHAnsi" w:cstheme="minorHAnsi"/>
                <w:szCs w:val="22"/>
              </w:rPr>
              <w:t>2. Odhodki</w:t>
            </w:r>
          </w:p>
        </w:tc>
        <w:tc>
          <w:tcPr>
            <w:tcW w:w="2410" w:type="dxa"/>
          </w:tcPr>
          <w:p w14:paraId="6173AD9E" w14:textId="77777777" w:rsidR="00FE476B" w:rsidRDefault="00FE476B" w:rsidP="004135B1">
            <w:pPr>
              <w:pStyle w:val="Telobesedila-zamik21"/>
              <w:spacing w:line="240" w:lineRule="exact"/>
              <w:ind w:firstLine="0"/>
              <w:rPr>
                <w:rFonts w:asciiTheme="minorHAnsi" w:hAnsiTheme="minorHAnsi" w:cstheme="minorHAnsi"/>
                <w:szCs w:val="22"/>
              </w:rPr>
            </w:pPr>
            <w:r>
              <w:rPr>
                <w:rFonts w:asciiTheme="minorHAnsi" w:hAnsiTheme="minorHAnsi" w:cstheme="minorHAnsi"/>
                <w:szCs w:val="22"/>
              </w:rPr>
              <w:t>4.397,7 milijona evrov</w:t>
            </w:r>
          </w:p>
        </w:tc>
      </w:tr>
      <w:tr w:rsidR="00FE476B" w14:paraId="353D27B5" w14:textId="77777777" w:rsidTr="00D22549">
        <w:tc>
          <w:tcPr>
            <w:tcW w:w="2263" w:type="dxa"/>
          </w:tcPr>
          <w:p w14:paraId="64A56B27" w14:textId="77777777" w:rsidR="00FE476B" w:rsidRDefault="00FE476B" w:rsidP="004135B1">
            <w:pPr>
              <w:pStyle w:val="Telobesedila-zamik21"/>
              <w:spacing w:line="240" w:lineRule="exact"/>
              <w:ind w:firstLine="0"/>
              <w:rPr>
                <w:rFonts w:asciiTheme="minorHAnsi" w:hAnsiTheme="minorHAnsi" w:cstheme="minorHAnsi"/>
                <w:szCs w:val="22"/>
              </w:rPr>
            </w:pPr>
            <w:r>
              <w:rPr>
                <w:rFonts w:asciiTheme="minorHAnsi" w:hAnsiTheme="minorHAnsi" w:cstheme="minorHAnsi"/>
                <w:szCs w:val="22"/>
              </w:rPr>
              <w:t>3. Primanjkljaj (1-2)</w:t>
            </w:r>
          </w:p>
        </w:tc>
        <w:tc>
          <w:tcPr>
            <w:tcW w:w="2410" w:type="dxa"/>
          </w:tcPr>
          <w:p w14:paraId="390CA5B0" w14:textId="77777777" w:rsidR="00FE476B" w:rsidRDefault="00FE476B" w:rsidP="004135B1">
            <w:pPr>
              <w:pStyle w:val="Telobesedila-zamik21"/>
              <w:spacing w:line="240" w:lineRule="exact"/>
              <w:ind w:firstLine="0"/>
              <w:rPr>
                <w:rFonts w:asciiTheme="minorHAnsi" w:hAnsiTheme="minorHAnsi" w:cstheme="minorHAnsi"/>
                <w:szCs w:val="22"/>
              </w:rPr>
            </w:pPr>
            <w:r>
              <w:rPr>
                <w:rFonts w:asciiTheme="minorHAnsi" w:hAnsiTheme="minorHAnsi" w:cstheme="minorHAnsi"/>
                <w:szCs w:val="22"/>
              </w:rPr>
              <w:t xml:space="preserve">      76,3 milijona evrov</w:t>
            </w:r>
          </w:p>
        </w:tc>
      </w:tr>
    </w:tbl>
    <w:p w14:paraId="09C6149B" w14:textId="1A0753BD" w:rsidR="00B605B3" w:rsidRPr="008765F2" w:rsidRDefault="00B605B3" w:rsidP="004135B1">
      <w:pPr>
        <w:pStyle w:val="Subhead1"/>
        <w:numPr>
          <w:ilvl w:val="0"/>
          <w:numId w:val="14"/>
        </w:numPr>
        <w:tabs>
          <w:tab w:val="clear" w:pos="850"/>
        </w:tabs>
        <w:spacing w:line="240" w:lineRule="exact"/>
        <w:rPr>
          <w:rFonts w:asciiTheme="minorHAnsi" w:hAnsiTheme="minorHAnsi" w:cstheme="minorHAnsi"/>
          <w:sz w:val="22"/>
          <w:szCs w:val="22"/>
        </w:rPr>
      </w:pPr>
      <w:r w:rsidRPr="008765F2">
        <w:rPr>
          <w:rFonts w:asciiTheme="minorHAnsi" w:hAnsiTheme="minorHAnsi" w:cstheme="minorHAnsi"/>
          <w:sz w:val="22"/>
          <w:szCs w:val="22"/>
        </w:rPr>
        <w:t>Prihodki ZZZS v letu 202</w:t>
      </w:r>
      <w:r w:rsidR="00FE476B">
        <w:rPr>
          <w:rFonts w:asciiTheme="minorHAnsi" w:hAnsiTheme="minorHAnsi" w:cstheme="minorHAnsi"/>
          <w:sz w:val="22"/>
          <w:szCs w:val="22"/>
        </w:rPr>
        <w:t>3</w:t>
      </w:r>
    </w:p>
    <w:p w14:paraId="525B5B0D" w14:textId="77777777" w:rsidR="00FE476B" w:rsidRDefault="00FE476B" w:rsidP="004135B1">
      <w:pPr>
        <w:pStyle w:val="Telobesedila1"/>
        <w:spacing w:line="240" w:lineRule="exact"/>
        <w:rPr>
          <w:rFonts w:asciiTheme="minorHAnsi" w:hAnsiTheme="minorHAnsi" w:cstheme="minorHAnsi"/>
        </w:rPr>
      </w:pPr>
      <w:r w:rsidRPr="008765F2">
        <w:rPr>
          <w:rFonts w:asciiTheme="minorHAnsi" w:hAnsiTheme="minorHAnsi" w:cstheme="minorHAnsi"/>
          <w:b/>
        </w:rPr>
        <w:t>Celotni prihodki ZZZS</w:t>
      </w:r>
      <w:r>
        <w:rPr>
          <w:rFonts w:asciiTheme="minorHAnsi" w:hAnsiTheme="minorHAnsi" w:cstheme="minorHAnsi"/>
          <w:b/>
        </w:rPr>
        <w:t xml:space="preserve"> so izkazani po načelu denarnega toka in v letu 2023 znaš</w:t>
      </w:r>
      <w:r w:rsidRPr="008765F2">
        <w:rPr>
          <w:rFonts w:asciiTheme="minorHAnsi" w:hAnsiTheme="minorHAnsi" w:cstheme="minorHAnsi"/>
          <w:b/>
        </w:rPr>
        <w:t xml:space="preserve">ajo </w:t>
      </w:r>
      <w:r>
        <w:rPr>
          <w:rFonts w:asciiTheme="minorHAnsi" w:hAnsiTheme="minorHAnsi" w:cstheme="minorHAnsi"/>
          <w:b/>
        </w:rPr>
        <w:t>4</w:t>
      </w:r>
      <w:r w:rsidRPr="008765F2">
        <w:rPr>
          <w:rFonts w:asciiTheme="minorHAnsi" w:hAnsiTheme="minorHAnsi" w:cstheme="minorHAnsi"/>
          <w:b/>
        </w:rPr>
        <w:t>.</w:t>
      </w:r>
      <w:r>
        <w:rPr>
          <w:rFonts w:asciiTheme="minorHAnsi" w:hAnsiTheme="minorHAnsi" w:cstheme="minorHAnsi"/>
          <w:b/>
        </w:rPr>
        <w:t>318,4</w:t>
      </w:r>
      <w:r w:rsidRPr="008765F2">
        <w:rPr>
          <w:rFonts w:asciiTheme="minorHAnsi" w:hAnsiTheme="minorHAnsi" w:cstheme="minorHAnsi"/>
          <w:b/>
        </w:rPr>
        <w:t xml:space="preserve"> milijona evrov</w:t>
      </w:r>
      <w:r w:rsidRPr="008765F2">
        <w:rPr>
          <w:rFonts w:asciiTheme="minorHAnsi" w:hAnsiTheme="minorHAnsi" w:cstheme="minorHAnsi"/>
        </w:rPr>
        <w:t xml:space="preserve"> in so za</w:t>
      </w:r>
      <w:r w:rsidRPr="008765F2">
        <w:rPr>
          <w:rFonts w:asciiTheme="minorHAnsi" w:hAnsiTheme="minorHAnsi" w:cstheme="minorHAnsi"/>
          <w:color w:val="auto"/>
        </w:rPr>
        <w:t xml:space="preserve"> </w:t>
      </w:r>
      <w:r>
        <w:rPr>
          <w:rFonts w:asciiTheme="minorHAnsi" w:hAnsiTheme="minorHAnsi" w:cstheme="minorHAnsi"/>
          <w:color w:val="auto"/>
        </w:rPr>
        <w:t>58,4</w:t>
      </w:r>
      <w:r w:rsidRPr="008765F2">
        <w:rPr>
          <w:rFonts w:asciiTheme="minorHAnsi" w:hAnsiTheme="minorHAnsi" w:cstheme="minorHAnsi"/>
          <w:color w:val="auto"/>
        </w:rPr>
        <w:t xml:space="preserve"> milijon</w:t>
      </w:r>
      <w:r>
        <w:rPr>
          <w:rFonts w:asciiTheme="minorHAnsi" w:hAnsiTheme="minorHAnsi" w:cstheme="minorHAnsi"/>
          <w:color w:val="auto"/>
        </w:rPr>
        <w:t>a</w:t>
      </w:r>
      <w:r w:rsidRPr="008765F2">
        <w:rPr>
          <w:rFonts w:asciiTheme="minorHAnsi" w:hAnsiTheme="minorHAnsi" w:cstheme="minorHAnsi"/>
          <w:color w:val="auto"/>
        </w:rPr>
        <w:t xml:space="preserve"> evrov oz. za</w:t>
      </w:r>
      <w:r w:rsidRPr="008765F2">
        <w:rPr>
          <w:rFonts w:asciiTheme="minorHAnsi" w:hAnsiTheme="minorHAnsi" w:cstheme="minorHAnsi"/>
        </w:rPr>
        <w:t xml:space="preserve"> </w:t>
      </w:r>
      <w:r>
        <w:rPr>
          <w:rFonts w:asciiTheme="minorHAnsi" w:hAnsiTheme="minorHAnsi" w:cstheme="minorHAnsi"/>
        </w:rPr>
        <w:t>1,3</w:t>
      </w:r>
      <w:r w:rsidRPr="008765F2">
        <w:rPr>
          <w:rFonts w:asciiTheme="minorHAnsi" w:hAnsiTheme="minorHAnsi" w:cstheme="minorHAnsi"/>
        </w:rPr>
        <w:t xml:space="preserve">, % </w:t>
      </w:r>
      <w:r>
        <w:rPr>
          <w:rFonts w:asciiTheme="minorHAnsi" w:hAnsiTheme="minorHAnsi" w:cstheme="minorHAnsi"/>
        </w:rPr>
        <w:t>manjši od</w:t>
      </w:r>
      <w:r w:rsidRPr="008765F2">
        <w:rPr>
          <w:rFonts w:asciiTheme="minorHAnsi" w:hAnsiTheme="minorHAnsi" w:cstheme="minorHAnsi"/>
        </w:rPr>
        <w:t xml:space="preserve"> </w:t>
      </w:r>
      <w:r>
        <w:rPr>
          <w:rFonts w:asciiTheme="minorHAnsi" w:hAnsiTheme="minorHAnsi" w:cstheme="minorHAnsi"/>
        </w:rPr>
        <w:t xml:space="preserve">načrtovanih </w:t>
      </w:r>
      <w:r w:rsidRPr="008765F2">
        <w:rPr>
          <w:rFonts w:asciiTheme="minorHAnsi" w:hAnsiTheme="minorHAnsi" w:cstheme="minorHAnsi"/>
        </w:rPr>
        <w:t>(</w:t>
      </w:r>
      <w:r>
        <w:rPr>
          <w:rFonts w:asciiTheme="minorHAnsi" w:hAnsiTheme="minorHAnsi" w:cstheme="minorHAnsi"/>
        </w:rPr>
        <w:t xml:space="preserve">manjši so prihodki </w:t>
      </w:r>
      <w:r>
        <w:rPr>
          <w:rFonts w:asciiTheme="minorHAnsi" w:hAnsiTheme="minorHAnsi" w:cstheme="minorHAnsi"/>
        </w:rPr>
        <w:lastRenderedPageBreak/>
        <w:t xml:space="preserve">iz državnega proračuna za 68,3 milijona evrov in </w:t>
      </w:r>
      <w:r w:rsidRPr="008765F2">
        <w:rPr>
          <w:rFonts w:asciiTheme="minorHAnsi" w:hAnsiTheme="minorHAnsi" w:cstheme="minorHAnsi"/>
        </w:rPr>
        <w:t xml:space="preserve">prihodki po mednarodnih sporazumih z drugimi državami za </w:t>
      </w:r>
      <w:r>
        <w:rPr>
          <w:rFonts w:asciiTheme="minorHAnsi" w:hAnsiTheme="minorHAnsi" w:cstheme="minorHAnsi"/>
        </w:rPr>
        <w:t>3,2</w:t>
      </w:r>
      <w:r w:rsidRPr="008765F2">
        <w:rPr>
          <w:rFonts w:asciiTheme="minorHAnsi" w:hAnsiTheme="minorHAnsi" w:cstheme="minorHAnsi"/>
        </w:rPr>
        <w:t xml:space="preserve"> milijon</w:t>
      </w:r>
      <w:r>
        <w:rPr>
          <w:rFonts w:asciiTheme="minorHAnsi" w:hAnsiTheme="minorHAnsi" w:cstheme="minorHAnsi"/>
        </w:rPr>
        <w:t>a</w:t>
      </w:r>
      <w:r w:rsidRPr="008765F2">
        <w:rPr>
          <w:rFonts w:asciiTheme="minorHAnsi" w:hAnsiTheme="minorHAnsi" w:cstheme="minorHAnsi"/>
        </w:rPr>
        <w:t xml:space="preserve"> evrov</w:t>
      </w:r>
      <w:r>
        <w:rPr>
          <w:rFonts w:asciiTheme="minorHAnsi" w:hAnsiTheme="minorHAnsi" w:cstheme="minorHAnsi"/>
        </w:rPr>
        <w:t xml:space="preserve">, </w:t>
      </w:r>
      <w:r w:rsidRPr="008765F2">
        <w:rPr>
          <w:rFonts w:asciiTheme="minorHAnsi" w:hAnsiTheme="minorHAnsi" w:cstheme="minorHAnsi"/>
        </w:rPr>
        <w:t xml:space="preserve">večji </w:t>
      </w:r>
      <w:r>
        <w:rPr>
          <w:rFonts w:asciiTheme="minorHAnsi" w:hAnsiTheme="minorHAnsi" w:cstheme="minorHAnsi"/>
        </w:rPr>
        <w:t xml:space="preserve">pa </w:t>
      </w:r>
      <w:r w:rsidRPr="008765F2">
        <w:rPr>
          <w:rFonts w:asciiTheme="minorHAnsi" w:hAnsiTheme="minorHAnsi" w:cstheme="minorHAnsi"/>
        </w:rPr>
        <w:t xml:space="preserve">prihodki od prispevkov za </w:t>
      </w:r>
      <w:r>
        <w:rPr>
          <w:rFonts w:asciiTheme="minorHAnsi" w:hAnsiTheme="minorHAnsi" w:cstheme="minorHAnsi"/>
        </w:rPr>
        <w:t>7,5</w:t>
      </w:r>
      <w:r w:rsidRPr="008765F2">
        <w:rPr>
          <w:rFonts w:asciiTheme="minorHAnsi" w:hAnsiTheme="minorHAnsi" w:cstheme="minorHAnsi"/>
        </w:rPr>
        <w:t xml:space="preserve"> milijona evrov</w:t>
      </w:r>
      <w:r>
        <w:rPr>
          <w:rFonts w:asciiTheme="minorHAnsi" w:hAnsiTheme="minorHAnsi" w:cstheme="minorHAnsi"/>
        </w:rPr>
        <w:t xml:space="preserve"> in prihodki od naložb za 0,6 milijona evrov)</w:t>
      </w:r>
      <w:r w:rsidRPr="008765F2">
        <w:rPr>
          <w:rFonts w:asciiTheme="minorHAnsi" w:hAnsiTheme="minorHAnsi" w:cstheme="minorHAnsi"/>
        </w:rPr>
        <w:t xml:space="preserve">. </w:t>
      </w:r>
      <w:r>
        <w:rPr>
          <w:rFonts w:asciiTheme="minorHAnsi" w:hAnsiTheme="minorHAnsi" w:cstheme="minorHAnsi"/>
        </w:rPr>
        <w:t xml:space="preserve">V primerjavi s preteklim letom so prihodki večji za 9,6 % ali za 377,4 milijona evrov, predvsem zaradi večjih prihodkov od prispevkov in transfernih prihodkov iz državnega proračuna. </w:t>
      </w:r>
    </w:p>
    <w:p w14:paraId="76B2E24B" w14:textId="5F44180C" w:rsidR="00FE476B" w:rsidRPr="00DC28A1" w:rsidRDefault="00FE476B" w:rsidP="004135B1">
      <w:pPr>
        <w:pStyle w:val="Telobesedila1"/>
        <w:spacing w:line="240" w:lineRule="exact"/>
        <w:rPr>
          <w:rFonts w:asciiTheme="minorHAnsi" w:hAnsiTheme="minorHAnsi" w:cstheme="minorHAnsi"/>
        </w:rPr>
      </w:pPr>
      <w:r w:rsidRPr="00E90CFF">
        <w:rPr>
          <w:rFonts w:asciiTheme="minorHAnsi" w:hAnsiTheme="minorHAnsi" w:cstheme="minorHAnsi"/>
          <w:u w:val="single"/>
        </w:rPr>
        <w:t>Prihodki od prispevkov</w:t>
      </w:r>
      <w:r w:rsidRPr="00E90CFF">
        <w:rPr>
          <w:rFonts w:asciiTheme="minorHAnsi" w:hAnsiTheme="minorHAnsi" w:cstheme="minorHAnsi"/>
        </w:rPr>
        <w:t xml:space="preserve"> </w:t>
      </w:r>
      <w:r w:rsidRPr="00DC28A1">
        <w:rPr>
          <w:rFonts w:asciiTheme="minorHAnsi" w:hAnsiTheme="minorHAnsi" w:cstheme="minorHAnsi"/>
        </w:rPr>
        <w:t>znašajo 3.</w:t>
      </w:r>
      <w:r>
        <w:rPr>
          <w:rFonts w:asciiTheme="minorHAnsi" w:hAnsiTheme="minorHAnsi" w:cstheme="minorHAnsi"/>
        </w:rPr>
        <w:t>873,2</w:t>
      </w:r>
      <w:r w:rsidRPr="00DC28A1">
        <w:rPr>
          <w:rFonts w:asciiTheme="minorHAnsi" w:hAnsiTheme="minorHAnsi" w:cstheme="minorHAnsi"/>
        </w:rPr>
        <w:t xml:space="preserve"> milijona evrov (predstavljajo </w:t>
      </w:r>
      <w:r>
        <w:rPr>
          <w:rFonts w:asciiTheme="minorHAnsi" w:hAnsiTheme="minorHAnsi" w:cstheme="minorHAnsi"/>
        </w:rPr>
        <w:t>89</w:t>
      </w:r>
      <w:r w:rsidRPr="00DC28A1">
        <w:rPr>
          <w:rFonts w:asciiTheme="minorHAnsi" w:hAnsiTheme="minorHAnsi" w:cstheme="minorHAnsi"/>
        </w:rPr>
        <w:t>,</w:t>
      </w:r>
      <w:r>
        <w:rPr>
          <w:rFonts w:asciiTheme="minorHAnsi" w:hAnsiTheme="minorHAnsi" w:cstheme="minorHAnsi"/>
        </w:rPr>
        <w:t>7</w:t>
      </w:r>
      <w:r w:rsidRPr="00DC28A1">
        <w:rPr>
          <w:rFonts w:asciiTheme="minorHAnsi" w:hAnsiTheme="minorHAnsi" w:cstheme="minorHAnsi"/>
        </w:rPr>
        <w:t xml:space="preserve"> % vseh prihodkov) in za </w:t>
      </w:r>
      <w:r>
        <w:rPr>
          <w:rFonts w:asciiTheme="minorHAnsi" w:hAnsiTheme="minorHAnsi" w:cstheme="minorHAnsi"/>
        </w:rPr>
        <w:t>8,5 %</w:t>
      </w:r>
      <w:r w:rsidRPr="00DC28A1">
        <w:rPr>
          <w:rFonts w:asciiTheme="minorHAnsi" w:hAnsiTheme="minorHAnsi" w:cstheme="minorHAnsi"/>
        </w:rPr>
        <w:t xml:space="preserve"> presegajo </w:t>
      </w:r>
      <w:r>
        <w:rPr>
          <w:rFonts w:asciiTheme="minorHAnsi" w:hAnsiTheme="minorHAnsi" w:cstheme="minorHAnsi"/>
        </w:rPr>
        <w:t>realizirane v letu 2022</w:t>
      </w:r>
      <w:r w:rsidRPr="00DC28A1">
        <w:rPr>
          <w:rFonts w:asciiTheme="minorHAnsi" w:hAnsiTheme="minorHAnsi" w:cstheme="minorHAnsi"/>
        </w:rPr>
        <w:t xml:space="preserve">, </w:t>
      </w:r>
      <w:r>
        <w:rPr>
          <w:rFonts w:asciiTheme="minorHAnsi" w:hAnsiTheme="minorHAnsi" w:cstheme="minorHAnsi"/>
        </w:rPr>
        <w:t xml:space="preserve">kar </w:t>
      </w:r>
      <w:r w:rsidRPr="00DC28A1">
        <w:rPr>
          <w:rFonts w:asciiTheme="minorHAnsi" w:hAnsiTheme="minorHAnsi" w:cstheme="minorHAnsi"/>
        </w:rPr>
        <w:t xml:space="preserve">je </w:t>
      </w:r>
      <w:r w:rsidRPr="00300FE1">
        <w:rPr>
          <w:rFonts w:asciiTheme="minorHAnsi" w:hAnsiTheme="minorHAnsi" w:cstheme="minorHAnsi"/>
        </w:rPr>
        <w:t xml:space="preserve">posledica </w:t>
      </w:r>
      <w:r>
        <w:rPr>
          <w:rFonts w:asciiTheme="minorHAnsi" w:hAnsiTheme="minorHAnsi" w:cstheme="minorHAnsi"/>
        </w:rPr>
        <w:t xml:space="preserve">rasti povprečne bruto plače, </w:t>
      </w:r>
      <w:r w:rsidRPr="00A552BF">
        <w:rPr>
          <w:rFonts w:asciiTheme="minorHAnsi" w:hAnsiTheme="minorHAnsi" w:cstheme="minorHAnsi"/>
        </w:rPr>
        <w:t>večjega števila delavno aktivnih in posledično manjšega števila brezposelnih oseb.</w:t>
      </w:r>
      <w:r>
        <w:rPr>
          <w:rFonts w:asciiTheme="minorHAnsi" w:hAnsiTheme="minorHAnsi" w:cstheme="minorHAnsi"/>
        </w:rPr>
        <w:t xml:space="preserve"> </w:t>
      </w:r>
    </w:p>
    <w:p w14:paraId="47A0507B" w14:textId="77777777" w:rsidR="00FE476B" w:rsidRDefault="00FE476B" w:rsidP="004135B1">
      <w:pPr>
        <w:pStyle w:val="Telobesedila1"/>
        <w:spacing w:line="240" w:lineRule="exact"/>
        <w:rPr>
          <w:rFonts w:asciiTheme="minorHAnsi" w:hAnsiTheme="minorHAnsi" w:cstheme="minorHAnsi"/>
          <w:snapToGrid/>
          <w:color w:val="auto"/>
        </w:rPr>
      </w:pPr>
      <w:r w:rsidRPr="008765F2">
        <w:rPr>
          <w:rFonts w:asciiTheme="minorHAnsi" w:hAnsiTheme="minorHAnsi" w:cstheme="minorHAnsi"/>
          <w:snapToGrid/>
          <w:color w:val="auto"/>
          <w:u w:val="single"/>
        </w:rPr>
        <w:t>Drugi prihodki</w:t>
      </w:r>
      <w:r w:rsidRPr="008765F2">
        <w:rPr>
          <w:rFonts w:asciiTheme="minorHAnsi" w:hAnsiTheme="minorHAnsi" w:cstheme="minorHAnsi"/>
          <w:snapToGrid/>
          <w:color w:val="auto"/>
        </w:rPr>
        <w:t xml:space="preserve"> znašajo </w:t>
      </w:r>
      <w:r>
        <w:rPr>
          <w:rFonts w:asciiTheme="minorHAnsi" w:hAnsiTheme="minorHAnsi" w:cstheme="minorHAnsi"/>
          <w:snapToGrid/>
          <w:color w:val="auto"/>
        </w:rPr>
        <w:t>445,1</w:t>
      </w:r>
      <w:r w:rsidRPr="008765F2">
        <w:rPr>
          <w:rFonts w:asciiTheme="minorHAnsi" w:hAnsiTheme="minorHAnsi" w:cstheme="minorHAnsi"/>
          <w:snapToGrid/>
          <w:color w:val="auto"/>
        </w:rPr>
        <w:t xml:space="preserve"> milijona evrov (predstavljajo </w:t>
      </w:r>
      <w:r>
        <w:rPr>
          <w:rFonts w:asciiTheme="minorHAnsi" w:hAnsiTheme="minorHAnsi" w:cstheme="minorHAnsi"/>
          <w:snapToGrid/>
          <w:color w:val="auto"/>
        </w:rPr>
        <w:t>10</w:t>
      </w:r>
      <w:r w:rsidRPr="008765F2">
        <w:rPr>
          <w:rFonts w:asciiTheme="minorHAnsi" w:hAnsiTheme="minorHAnsi" w:cstheme="minorHAnsi"/>
          <w:snapToGrid/>
          <w:color w:val="auto"/>
        </w:rPr>
        <w:t>,</w:t>
      </w:r>
      <w:r>
        <w:rPr>
          <w:rFonts w:asciiTheme="minorHAnsi" w:hAnsiTheme="minorHAnsi" w:cstheme="minorHAnsi"/>
          <w:snapToGrid/>
          <w:color w:val="auto"/>
        </w:rPr>
        <w:t>3</w:t>
      </w:r>
      <w:r w:rsidRPr="008765F2">
        <w:rPr>
          <w:rFonts w:asciiTheme="minorHAnsi" w:hAnsiTheme="minorHAnsi" w:cstheme="minorHAnsi"/>
          <w:snapToGrid/>
          <w:color w:val="auto"/>
        </w:rPr>
        <w:t> % vseh prihodkov)</w:t>
      </w:r>
      <w:r>
        <w:rPr>
          <w:rFonts w:asciiTheme="minorHAnsi" w:hAnsiTheme="minorHAnsi" w:cstheme="minorHAnsi"/>
          <w:snapToGrid/>
          <w:color w:val="auto"/>
        </w:rPr>
        <w:t xml:space="preserve">, so za 19,6 % večji od drugih prihodkov v letu 2022 oziroma za 73 milijonov evrov </w:t>
      </w:r>
      <w:r w:rsidRPr="008765F2">
        <w:rPr>
          <w:rFonts w:asciiTheme="minorHAnsi" w:hAnsiTheme="minorHAnsi" w:cstheme="minorHAnsi"/>
          <w:snapToGrid/>
          <w:color w:val="auto"/>
        </w:rPr>
        <w:t xml:space="preserve">in </w:t>
      </w:r>
      <w:r>
        <w:rPr>
          <w:rFonts w:asciiTheme="minorHAnsi" w:hAnsiTheme="minorHAnsi" w:cstheme="minorHAnsi"/>
          <w:snapToGrid/>
          <w:color w:val="auto"/>
        </w:rPr>
        <w:t>so za 65,9</w:t>
      </w:r>
      <w:r w:rsidRPr="008765F2">
        <w:rPr>
          <w:rFonts w:asciiTheme="minorHAnsi" w:hAnsiTheme="minorHAnsi" w:cstheme="minorHAnsi"/>
          <w:snapToGrid/>
          <w:color w:val="auto"/>
        </w:rPr>
        <w:t xml:space="preserve"> milijona evrov </w:t>
      </w:r>
      <w:r>
        <w:rPr>
          <w:rFonts w:asciiTheme="minorHAnsi" w:hAnsiTheme="minorHAnsi" w:cstheme="minorHAnsi"/>
          <w:snapToGrid/>
          <w:color w:val="auto"/>
        </w:rPr>
        <w:t xml:space="preserve">pod </w:t>
      </w:r>
      <w:r w:rsidRPr="008765F2">
        <w:rPr>
          <w:rFonts w:asciiTheme="minorHAnsi" w:hAnsiTheme="minorHAnsi" w:cstheme="minorHAnsi"/>
          <w:snapToGrid/>
          <w:color w:val="auto"/>
        </w:rPr>
        <w:t>načrtovan</w:t>
      </w:r>
      <w:r>
        <w:rPr>
          <w:rFonts w:asciiTheme="minorHAnsi" w:hAnsiTheme="minorHAnsi" w:cstheme="minorHAnsi"/>
          <w:snapToGrid/>
          <w:color w:val="auto"/>
        </w:rPr>
        <w:t xml:space="preserve">imi (predvsem </w:t>
      </w:r>
      <w:r w:rsidRPr="008765F2">
        <w:rPr>
          <w:rFonts w:asciiTheme="minorHAnsi" w:hAnsiTheme="minorHAnsi" w:cstheme="minorHAnsi"/>
          <w:snapToGrid/>
          <w:color w:val="auto"/>
        </w:rPr>
        <w:t xml:space="preserve">zaradi </w:t>
      </w:r>
      <w:r>
        <w:rPr>
          <w:rFonts w:asciiTheme="minorHAnsi" w:hAnsiTheme="minorHAnsi" w:cstheme="minorHAnsi"/>
          <w:snapToGrid/>
          <w:color w:val="auto"/>
        </w:rPr>
        <w:t>manjše realizacije povračil iz proračuna za plačilo realiziranih programov zdravstvenih storitev, ki presegajo planiran obseg)</w:t>
      </w:r>
      <w:r w:rsidRPr="008765F2">
        <w:rPr>
          <w:rFonts w:asciiTheme="minorHAnsi" w:hAnsiTheme="minorHAnsi" w:cstheme="minorHAnsi"/>
          <w:snapToGrid/>
          <w:color w:val="auto"/>
        </w:rPr>
        <w:t>.</w:t>
      </w:r>
    </w:p>
    <w:p w14:paraId="6C3C54A0" w14:textId="77777777" w:rsidR="00FE476B" w:rsidRDefault="00FE476B" w:rsidP="004135B1">
      <w:pPr>
        <w:pStyle w:val="Telobesedila1"/>
        <w:spacing w:line="240" w:lineRule="exact"/>
        <w:rPr>
          <w:rFonts w:asciiTheme="minorHAnsi" w:hAnsiTheme="minorHAnsi" w:cstheme="minorHAnsi"/>
        </w:rPr>
      </w:pPr>
      <w:r w:rsidRPr="008765F2">
        <w:rPr>
          <w:rFonts w:asciiTheme="minorHAnsi" w:hAnsiTheme="minorHAnsi" w:cstheme="minorHAnsi"/>
          <w:snapToGrid/>
          <w:color w:val="auto"/>
        </w:rPr>
        <w:t>Največji delež med drugimi prihodki</w:t>
      </w:r>
      <w:r>
        <w:rPr>
          <w:rFonts w:asciiTheme="minorHAnsi" w:hAnsiTheme="minorHAnsi" w:cstheme="minorHAnsi"/>
          <w:snapToGrid/>
          <w:color w:val="auto"/>
        </w:rPr>
        <w:t xml:space="preserve"> (68,4 %)</w:t>
      </w:r>
      <w:r w:rsidRPr="008765F2">
        <w:rPr>
          <w:rFonts w:asciiTheme="minorHAnsi" w:hAnsiTheme="minorHAnsi" w:cstheme="minorHAnsi"/>
          <w:snapToGrid/>
          <w:color w:val="auto"/>
        </w:rPr>
        <w:t xml:space="preserve"> predstavljajo sredstva iz državnega proračuna v višini </w:t>
      </w:r>
      <w:r>
        <w:rPr>
          <w:rFonts w:asciiTheme="minorHAnsi" w:hAnsiTheme="minorHAnsi" w:cstheme="minorHAnsi"/>
          <w:snapToGrid/>
          <w:color w:val="auto"/>
        </w:rPr>
        <w:t>304,3</w:t>
      </w:r>
      <w:r w:rsidRPr="008765F2">
        <w:rPr>
          <w:rFonts w:asciiTheme="minorHAnsi" w:hAnsiTheme="minorHAnsi" w:cstheme="minorHAnsi"/>
          <w:snapToGrid/>
          <w:color w:val="auto"/>
        </w:rPr>
        <w:t xml:space="preserve"> milijon</w:t>
      </w:r>
      <w:r>
        <w:rPr>
          <w:rFonts w:asciiTheme="minorHAnsi" w:hAnsiTheme="minorHAnsi" w:cstheme="minorHAnsi"/>
          <w:snapToGrid/>
          <w:color w:val="auto"/>
        </w:rPr>
        <w:t>a</w:t>
      </w:r>
      <w:r w:rsidRPr="008765F2">
        <w:rPr>
          <w:rFonts w:asciiTheme="minorHAnsi" w:hAnsiTheme="minorHAnsi" w:cstheme="minorHAnsi"/>
          <w:snapToGrid/>
          <w:color w:val="auto"/>
        </w:rPr>
        <w:t xml:space="preserve"> evrov </w:t>
      </w:r>
      <w:r>
        <w:rPr>
          <w:rFonts w:asciiTheme="minorHAnsi" w:hAnsiTheme="minorHAnsi" w:cstheme="minorHAnsi"/>
          <w:snapToGrid/>
          <w:color w:val="auto"/>
        </w:rPr>
        <w:t xml:space="preserve">(201,5 milijona evrov </w:t>
      </w:r>
      <w:r w:rsidRPr="008765F2">
        <w:rPr>
          <w:rFonts w:asciiTheme="minorHAnsi" w:hAnsiTheme="minorHAnsi" w:cstheme="minorHAnsi"/>
          <w:snapToGrid/>
          <w:color w:val="auto"/>
        </w:rPr>
        <w:t xml:space="preserve">za </w:t>
      </w:r>
      <w:r>
        <w:rPr>
          <w:rFonts w:asciiTheme="minorHAnsi" w:hAnsiTheme="minorHAnsi" w:cstheme="minorHAnsi"/>
          <w:snapToGrid/>
          <w:color w:val="auto"/>
        </w:rPr>
        <w:t xml:space="preserve">povračilo stroškov nadomestil izplačanih med začasno zadržanostjo od dela, ki presegajo raven izplačil iz leta 2019 in v manjšem delu za kritje stroškov povezanih z boleznijo Covid-19, 81,6 milijona evrov za preseganje programa zdravstvenih storitev nad planiranim obsegom iz obveznega zdravstvenega zavarovanja, 20 milijonov evrov </w:t>
      </w:r>
      <w:r w:rsidRPr="008765F2">
        <w:rPr>
          <w:rFonts w:asciiTheme="minorHAnsi" w:hAnsiTheme="minorHAnsi" w:cstheme="minorHAnsi"/>
          <w:snapToGrid/>
          <w:color w:val="auto"/>
        </w:rPr>
        <w:t>za povračilo plačila zdravstvenih storitev do polne vrednosti storitev za socialno ogrožene</w:t>
      </w:r>
      <w:r>
        <w:rPr>
          <w:rFonts w:asciiTheme="minorHAnsi" w:hAnsiTheme="minorHAnsi" w:cstheme="minorHAnsi"/>
          <w:snapToGrid/>
          <w:color w:val="auto"/>
        </w:rPr>
        <w:t xml:space="preserve"> in 1,2 milijona evrov za kritje povračila stroškov dela in materialnih stroškov, povezanih z nalogami za dolgotrajno oskrbo)</w:t>
      </w:r>
      <w:r w:rsidRPr="008765F2">
        <w:rPr>
          <w:rFonts w:asciiTheme="minorHAnsi" w:hAnsiTheme="minorHAnsi" w:cstheme="minorHAnsi"/>
          <w:snapToGrid/>
          <w:color w:val="auto"/>
        </w:rPr>
        <w:t xml:space="preserve">. Sledijo </w:t>
      </w:r>
      <w:r>
        <w:rPr>
          <w:rFonts w:asciiTheme="minorHAnsi" w:hAnsiTheme="minorHAnsi" w:cstheme="minorHAnsi"/>
        </w:rPr>
        <w:t>prihodki</w:t>
      </w:r>
      <w:r w:rsidRPr="008765F2">
        <w:rPr>
          <w:rFonts w:asciiTheme="minorHAnsi" w:hAnsiTheme="minorHAnsi" w:cstheme="minorHAnsi"/>
        </w:rPr>
        <w:t xml:space="preserve"> po dogovorih o cenah in povračilu stroškov za zdravila, ki jih je ZZZS sklenil z dobavitelji zdravil v višini </w:t>
      </w:r>
      <w:r>
        <w:rPr>
          <w:rFonts w:asciiTheme="minorHAnsi" w:hAnsiTheme="minorHAnsi" w:cstheme="minorHAnsi"/>
        </w:rPr>
        <w:t xml:space="preserve">79,7 </w:t>
      </w:r>
      <w:r w:rsidRPr="008765F2">
        <w:rPr>
          <w:rFonts w:asciiTheme="minorHAnsi" w:hAnsiTheme="minorHAnsi" w:cstheme="minorHAnsi"/>
        </w:rPr>
        <w:t>milijona evrov</w:t>
      </w:r>
      <w:r>
        <w:rPr>
          <w:rFonts w:asciiTheme="minorHAnsi" w:hAnsiTheme="minorHAnsi" w:cstheme="minorHAnsi"/>
        </w:rPr>
        <w:t xml:space="preserve"> (17,9 %)</w:t>
      </w:r>
      <w:r w:rsidRPr="008765F2">
        <w:rPr>
          <w:rFonts w:asciiTheme="minorHAnsi" w:hAnsiTheme="minorHAnsi" w:cstheme="minorHAnsi"/>
          <w:snapToGrid/>
          <w:color w:val="auto"/>
        </w:rPr>
        <w:t>, prihodki od regresnih zahtevkov v višini 2</w:t>
      </w:r>
      <w:r>
        <w:rPr>
          <w:rFonts w:asciiTheme="minorHAnsi" w:hAnsiTheme="minorHAnsi" w:cstheme="minorHAnsi"/>
          <w:snapToGrid/>
          <w:color w:val="auto"/>
        </w:rPr>
        <w:t>7</w:t>
      </w:r>
      <w:r w:rsidRPr="008765F2">
        <w:rPr>
          <w:rFonts w:asciiTheme="minorHAnsi" w:hAnsiTheme="minorHAnsi" w:cstheme="minorHAnsi"/>
          <w:snapToGrid/>
          <w:color w:val="auto"/>
        </w:rPr>
        <w:t>,</w:t>
      </w:r>
      <w:r>
        <w:rPr>
          <w:rFonts w:asciiTheme="minorHAnsi" w:hAnsiTheme="minorHAnsi" w:cstheme="minorHAnsi"/>
          <w:snapToGrid/>
          <w:color w:val="auto"/>
        </w:rPr>
        <w:t>9</w:t>
      </w:r>
      <w:r w:rsidRPr="008765F2">
        <w:rPr>
          <w:rFonts w:asciiTheme="minorHAnsi" w:hAnsiTheme="minorHAnsi" w:cstheme="minorHAnsi"/>
          <w:snapToGrid/>
          <w:color w:val="auto"/>
        </w:rPr>
        <w:t xml:space="preserve"> milijona evrov</w:t>
      </w:r>
      <w:r>
        <w:rPr>
          <w:rFonts w:asciiTheme="minorHAnsi" w:hAnsiTheme="minorHAnsi" w:cstheme="minorHAnsi"/>
          <w:snapToGrid/>
          <w:color w:val="auto"/>
        </w:rPr>
        <w:t xml:space="preserve"> (6,3 %), </w:t>
      </w:r>
      <w:r w:rsidRPr="008765F2">
        <w:rPr>
          <w:rFonts w:asciiTheme="minorHAnsi" w:hAnsiTheme="minorHAnsi" w:cstheme="minorHAnsi"/>
          <w:snapToGrid/>
          <w:color w:val="auto"/>
        </w:rPr>
        <w:t xml:space="preserve">prihodki po mednarodnih sporazumih v višini </w:t>
      </w:r>
      <w:r>
        <w:rPr>
          <w:rFonts w:asciiTheme="minorHAnsi" w:hAnsiTheme="minorHAnsi" w:cstheme="minorHAnsi"/>
          <w:snapToGrid/>
          <w:color w:val="auto"/>
        </w:rPr>
        <w:t>26,3</w:t>
      </w:r>
      <w:r w:rsidRPr="008765F2">
        <w:rPr>
          <w:rFonts w:asciiTheme="minorHAnsi" w:hAnsiTheme="minorHAnsi" w:cstheme="minorHAnsi"/>
          <w:snapToGrid/>
          <w:color w:val="auto"/>
        </w:rPr>
        <w:t xml:space="preserve"> milijon</w:t>
      </w:r>
      <w:r>
        <w:rPr>
          <w:rFonts w:asciiTheme="minorHAnsi" w:hAnsiTheme="minorHAnsi" w:cstheme="minorHAnsi"/>
          <w:snapToGrid/>
          <w:color w:val="auto"/>
        </w:rPr>
        <w:t>a</w:t>
      </w:r>
      <w:r w:rsidRPr="008765F2">
        <w:rPr>
          <w:rFonts w:asciiTheme="minorHAnsi" w:hAnsiTheme="minorHAnsi" w:cstheme="minorHAnsi"/>
          <w:snapToGrid/>
          <w:color w:val="auto"/>
        </w:rPr>
        <w:t xml:space="preserve"> evrov</w:t>
      </w:r>
      <w:r>
        <w:rPr>
          <w:rFonts w:asciiTheme="minorHAnsi" w:hAnsiTheme="minorHAnsi" w:cstheme="minorHAnsi"/>
          <w:snapToGrid/>
          <w:color w:val="auto"/>
        </w:rPr>
        <w:t xml:space="preserve"> (5,9 %) in drugi prihodki (1,5 %)</w:t>
      </w:r>
      <w:r w:rsidRPr="008765F2">
        <w:rPr>
          <w:rFonts w:asciiTheme="minorHAnsi" w:hAnsiTheme="minorHAnsi" w:cstheme="minorHAnsi"/>
        </w:rPr>
        <w:t xml:space="preserve">. </w:t>
      </w:r>
    </w:p>
    <w:p w14:paraId="61876513" w14:textId="77777777" w:rsidR="00FE476B" w:rsidRDefault="00FE476B" w:rsidP="004135B1">
      <w:pPr>
        <w:pStyle w:val="p-marked"/>
        <w:shd w:val="clear" w:color="auto" w:fill="FFFFFF"/>
        <w:spacing w:line="240" w:lineRule="exact"/>
        <w:jc w:val="both"/>
        <w:rPr>
          <w:rFonts w:asciiTheme="minorHAnsi" w:hAnsiTheme="minorHAnsi" w:cstheme="minorHAnsi"/>
          <w:sz w:val="22"/>
          <w:szCs w:val="22"/>
        </w:rPr>
      </w:pPr>
      <w:r w:rsidRPr="00E727DB">
        <w:rPr>
          <w:rFonts w:asciiTheme="minorHAnsi" w:hAnsiTheme="minorHAnsi" w:cstheme="minorHAnsi"/>
          <w:sz w:val="22"/>
          <w:szCs w:val="22"/>
        </w:rPr>
        <w:t>V letu 2023 so se iz državnega proračuna delno krili odhodki ZZZS za financiranje nadomestil med začasno zadržanostjo</w:t>
      </w:r>
      <w:r>
        <w:rPr>
          <w:rFonts w:asciiTheme="minorHAnsi" w:hAnsiTheme="minorHAnsi" w:cstheme="minorHAnsi"/>
          <w:sz w:val="22"/>
          <w:szCs w:val="22"/>
        </w:rPr>
        <w:t xml:space="preserve"> nad ravnijo odhodkov leta 2019 </w:t>
      </w:r>
      <w:r w:rsidRPr="00E727DB">
        <w:rPr>
          <w:rFonts w:asciiTheme="minorHAnsi" w:hAnsiTheme="minorHAnsi" w:cstheme="minorHAnsi"/>
          <w:sz w:val="22"/>
          <w:szCs w:val="22"/>
        </w:rPr>
        <w:t>in stroški, ki so izvajalcem zdravstvene dejavnosti v mreži javne zdravstvene službe nastali zaradi obvladovanja nalezljive bolezni Covid-19 (</w:t>
      </w:r>
      <w:r>
        <w:rPr>
          <w:rFonts w:asciiTheme="minorHAnsi" w:hAnsiTheme="minorHAnsi" w:cstheme="minorHAnsi"/>
          <w:sz w:val="22"/>
          <w:szCs w:val="22"/>
        </w:rPr>
        <w:t xml:space="preserve">obe postavki </w:t>
      </w:r>
      <w:r w:rsidRPr="00E727DB">
        <w:rPr>
          <w:rFonts w:asciiTheme="minorHAnsi" w:hAnsiTheme="minorHAnsi" w:cstheme="minorHAnsi"/>
          <w:sz w:val="22"/>
          <w:szCs w:val="22"/>
        </w:rPr>
        <w:t>skupaj 201,5 milijona evrov), v celoti pa stroški za vzpostavitev sistema dolgotrajne oskrbe (1,2 milijona evrov). Od načrtovanih proračunskih sredstev (brez kritja stroškov za socialno ogrožene) v znesku 352,7 milijona evrov, je ZZZS na podlagi izdanih zahtevkov v letu 2023 prejel transfer iz državnega proračuna v skupni višini 284,3 milijona evrov za</w:t>
      </w:r>
      <w:r>
        <w:rPr>
          <w:rFonts w:asciiTheme="minorHAnsi" w:hAnsiTheme="minorHAnsi" w:cstheme="minorHAnsi"/>
          <w:sz w:val="22"/>
          <w:szCs w:val="22"/>
        </w:rPr>
        <w:t xml:space="preserve">: </w:t>
      </w:r>
    </w:p>
    <w:p w14:paraId="223D79EC" w14:textId="77777777" w:rsidR="00FE476B" w:rsidRDefault="00FE476B" w:rsidP="004135B1">
      <w:pPr>
        <w:pStyle w:val="p-marked"/>
        <w:numPr>
          <w:ilvl w:val="0"/>
          <w:numId w:val="15"/>
        </w:numPr>
        <w:shd w:val="clear" w:color="auto" w:fill="FFFFFF"/>
        <w:spacing w:line="240" w:lineRule="exact"/>
        <w:ind w:left="426"/>
        <w:jc w:val="both"/>
        <w:rPr>
          <w:rFonts w:asciiTheme="minorHAnsi" w:hAnsiTheme="minorHAnsi" w:cstheme="minorHAnsi"/>
          <w:sz w:val="22"/>
          <w:szCs w:val="22"/>
        </w:rPr>
      </w:pPr>
      <w:r w:rsidRPr="00E727DB">
        <w:rPr>
          <w:rFonts w:asciiTheme="minorHAnsi" w:hAnsiTheme="minorHAnsi" w:cstheme="minorHAnsi"/>
          <w:sz w:val="22"/>
          <w:szCs w:val="22"/>
        </w:rPr>
        <w:t xml:space="preserve">plačilo preseganja </w:t>
      </w:r>
      <w:r>
        <w:rPr>
          <w:rFonts w:asciiTheme="minorHAnsi" w:hAnsiTheme="minorHAnsi" w:cstheme="minorHAnsi"/>
          <w:sz w:val="22"/>
          <w:szCs w:val="22"/>
        </w:rPr>
        <w:t>odhodkov</w:t>
      </w:r>
      <w:r w:rsidRPr="00E727DB">
        <w:rPr>
          <w:rFonts w:asciiTheme="minorHAnsi" w:hAnsiTheme="minorHAnsi" w:cstheme="minorHAnsi"/>
          <w:sz w:val="22"/>
          <w:szCs w:val="22"/>
        </w:rPr>
        <w:t xml:space="preserve"> v letu 2023 v primerjavi z letom 2019 iz naslova nadomestil plač za čas zadržanosti od dela v višini 184 milijonov evrov</w:t>
      </w:r>
      <w:r>
        <w:rPr>
          <w:rFonts w:asciiTheme="minorHAnsi" w:hAnsiTheme="minorHAnsi" w:cstheme="minorHAnsi"/>
          <w:sz w:val="22"/>
          <w:szCs w:val="22"/>
        </w:rPr>
        <w:t>;</w:t>
      </w:r>
      <w:r w:rsidRPr="00E727DB">
        <w:rPr>
          <w:rFonts w:asciiTheme="minorHAnsi" w:hAnsiTheme="minorHAnsi" w:cstheme="minorHAnsi"/>
          <w:sz w:val="22"/>
          <w:szCs w:val="22"/>
        </w:rPr>
        <w:t xml:space="preserve"> </w:t>
      </w:r>
    </w:p>
    <w:p w14:paraId="2B7B1B6B" w14:textId="77777777" w:rsidR="00FE476B" w:rsidRPr="00E727DB" w:rsidRDefault="00FE476B" w:rsidP="004135B1">
      <w:pPr>
        <w:pStyle w:val="p-marked"/>
        <w:numPr>
          <w:ilvl w:val="0"/>
          <w:numId w:val="15"/>
        </w:numPr>
        <w:shd w:val="clear" w:color="auto" w:fill="FFFFFF"/>
        <w:spacing w:line="240" w:lineRule="exact"/>
        <w:ind w:left="426"/>
        <w:jc w:val="both"/>
        <w:rPr>
          <w:rFonts w:asciiTheme="minorHAnsi" w:hAnsiTheme="minorHAnsi" w:cstheme="minorHAnsi"/>
          <w:sz w:val="22"/>
          <w:szCs w:val="22"/>
        </w:rPr>
      </w:pPr>
      <w:r w:rsidRPr="00E727DB">
        <w:rPr>
          <w:rFonts w:asciiTheme="minorHAnsi" w:hAnsiTheme="minorHAnsi" w:cstheme="minorHAnsi"/>
          <w:sz w:val="22"/>
          <w:szCs w:val="22"/>
        </w:rPr>
        <w:t>preseganje programa nad planiranim obsegom iz obveznega zdravstvenega zavarovanja za izvajalce, ki izpolnjujejo pogoje iz 15. člena ZNUZSZS in 14. člena ZNUNBZ v višini 81,6 milijona evrov;</w:t>
      </w:r>
    </w:p>
    <w:p w14:paraId="2CD792B1" w14:textId="77777777" w:rsidR="00FE476B" w:rsidRDefault="00FE476B" w:rsidP="004135B1">
      <w:pPr>
        <w:pStyle w:val="p-marked"/>
        <w:numPr>
          <w:ilvl w:val="0"/>
          <w:numId w:val="15"/>
        </w:numPr>
        <w:shd w:val="clear" w:color="auto" w:fill="FFFFFF"/>
        <w:spacing w:line="240" w:lineRule="exact"/>
        <w:ind w:left="426"/>
        <w:jc w:val="both"/>
        <w:rPr>
          <w:rFonts w:asciiTheme="minorHAnsi" w:hAnsiTheme="minorHAnsi" w:cstheme="minorHAnsi"/>
          <w:sz w:val="22"/>
          <w:szCs w:val="22"/>
        </w:rPr>
      </w:pPr>
      <w:r w:rsidRPr="00E727DB">
        <w:rPr>
          <w:rFonts w:asciiTheme="minorHAnsi" w:hAnsiTheme="minorHAnsi" w:cstheme="minorHAnsi"/>
          <w:sz w:val="22"/>
          <w:szCs w:val="22"/>
        </w:rPr>
        <w:t>stroške izvajalcev zdravstvene dejavnosti, povezanih z obvladovanjem nalezljive bolezni Covid-19 v višini 17,5 milijona evrov</w:t>
      </w:r>
      <w:r>
        <w:rPr>
          <w:rFonts w:asciiTheme="minorHAnsi" w:hAnsiTheme="minorHAnsi" w:cstheme="minorHAnsi"/>
          <w:sz w:val="22"/>
          <w:szCs w:val="22"/>
        </w:rPr>
        <w:t xml:space="preserve"> in </w:t>
      </w:r>
    </w:p>
    <w:p w14:paraId="65235A54" w14:textId="77777777" w:rsidR="00FE476B" w:rsidRDefault="00FE476B" w:rsidP="004135B1">
      <w:pPr>
        <w:pStyle w:val="p-marked"/>
        <w:numPr>
          <w:ilvl w:val="0"/>
          <w:numId w:val="15"/>
        </w:numPr>
        <w:shd w:val="clear" w:color="auto" w:fill="FFFFFF"/>
        <w:spacing w:line="240" w:lineRule="exact"/>
        <w:ind w:left="426"/>
        <w:jc w:val="both"/>
        <w:rPr>
          <w:rFonts w:asciiTheme="minorHAnsi" w:hAnsiTheme="minorHAnsi" w:cstheme="minorHAnsi"/>
          <w:sz w:val="22"/>
          <w:szCs w:val="22"/>
        </w:rPr>
      </w:pPr>
      <w:r w:rsidRPr="00E727DB">
        <w:rPr>
          <w:rFonts w:asciiTheme="minorHAnsi" w:hAnsiTheme="minorHAnsi" w:cstheme="minorHAnsi"/>
          <w:sz w:val="22"/>
          <w:szCs w:val="22"/>
        </w:rPr>
        <w:t>za vzpostavitev sistema dolgotrajne oskrbe v ZZZS v višini 1,2 milijona evrov.</w:t>
      </w:r>
    </w:p>
    <w:p w14:paraId="184D340A" w14:textId="77777777" w:rsidR="00FE476B" w:rsidRPr="008765F2" w:rsidRDefault="00FE476B" w:rsidP="00FE476B">
      <w:pPr>
        <w:pStyle w:val="Telobesedila1"/>
        <w:spacing w:line="240" w:lineRule="auto"/>
        <w:jc w:val="center"/>
        <w:rPr>
          <w:rFonts w:asciiTheme="minorHAnsi" w:hAnsiTheme="minorHAnsi" w:cstheme="minorHAnsi"/>
        </w:rPr>
      </w:pPr>
      <w:r>
        <w:rPr>
          <w:noProof/>
        </w:rPr>
        <w:lastRenderedPageBreak/>
        <w:drawing>
          <wp:inline distT="0" distB="0" distL="0" distR="0" wp14:anchorId="34E8BB58" wp14:editId="5F67E1CE">
            <wp:extent cx="4776826" cy="2946502"/>
            <wp:effectExtent l="0" t="0" r="5080" b="6350"/>
            <wp:docPr id="1" name="Grafikon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D23035" w14:textId="77777777" w:rsidR="00FE476B" w:rsidRDefault="00FE476B" w:rsidP="00FE476B">
      <w:pPr>
        <w:pStyle w:val="Telobesedila1"/>
        <w:spacing w:line="240" w:lineRule="auto"/>
        <w:jc w:val="center"/>
        <w:rPr>
          <w:rFonts w:asciiTheme="minorHAnsi" w:hAnsiTheme="minorHAnsi" w:cstheme="minorHAnsi"/>
          <w:i/>
          <w:color w:val="auto"/>
        </w:rPr>
      </w:pPr>
      <w:r w:rsidRPr="008765F2">
        <w:rPr>
          <w:rFonts w:asciiTheme="minorHAnsi" w:hAnsiTheme="minorHAnsi" w:cstheme="minorHAnsi"/>
          <w:i/>
          <w:color w:val="auto"/>
        </w:rPr>
        <w:t>Slika 1: Struktura prihodkov ZZZS v letu 202</w:t>
      </w:r>
      <w:r>
        <w:rPr>
          <w:rFonts w:asciiTheme="minorHAnsi" w:hAnsiTheme="minorHAnsi" w:cstheme="minorHAnsi"/>
          <w:i/>
          <w:color w:val="auto"/>
        </w:rPr>
        <w:t>3</w:t>
      </w:r>
      <w:r w:rsidRPr="005C6F53">
        <w:rPr>
          <w:rFonts w:asciiTheme="minorHAnsi" w:hAnsiTheme="minorHAnsi" w:cstheme="minorHAnsi"/>
          <w:i/>
          <w:color w:val="auto"/>
        </w:rPr>
        <w:t>.</w:t>
      </w:r>
    </w:p>
    <w:p w14:paraId="6E905384" w14:textId="170300E6" w:rsidR="00FE476B" w:rsidRPr="008765F2" w:rsidRDefault="00FE476B" w:rsidP="004135B1">
      <w:pPr>
        <w:pStyle w:val="Telobesedila1"/>
        <w:spacing w:line="240" w:lineRule="exact"/>
        <w:rPr>
          <w:rFonts w:asciiTheme="minorHAnsi" w:hAnsiTheme="minorHAnsi" w:cstheme="minorHAnsi"/>
        </w:rPr>
      </w:pPr>
      <w:r w:rsidRPr="008765F2">
        <w:rPr>
          <w:rFonts w:asciiTheme="minorHAnsi" w:hAnsiTheme="minorHAnsi" w:cstheme="minorHAnsi"/>
        </w:rPr>
        <w:t xml:space="preserve">                                                                                                                                                                                                                                                                                              </w:t>
      </w:r>
    </w:p>
    <w:p w14:paraId="31E0EF3B" w14:textId="77777777" w:rsidR="00FE476B" w:rsidRDefault="00FE476B" w:rsidP="004135B1">
      <w:pPr>
        <w:pStyle w:val="Bodyleftbold"/>
        <w:numPr>
          <w:ilvl w:val="0"/>
          <w:numId w:val="14"/>
        </w:numPr>
        <w:tabs>
          <w:tab w:val="left" w:pos="284"/>
        </w:tabs>
        <w:spacing w:line="240" w:lineRule="exact"/>
        <w:rPr>
          <w:rFonts w:asciiTheme="minorHAnsi" w:hAnsiTheme="minorHAnsi" w:cstheme="minorHAnsi"/>
        </w:rPr>
      </w:pPr>
      <w:r w:rsidRPr="008765F2">
        <w:rPr>
          <w:rFonts w:asciiTheme="minorHAnsi" w:hAnsiTheme="minorHAnsi" w:cstheme="minorHAnsi"/>
        </w:rPr>
        <w:t>Odhodki ZZZS v letu 202</w:t>
      </w:r>
      <w:r>
        <w:rPr>
          <w:rFonts w:asciiTheme="minorHAnsi" w:hAnsiTheme="minorHAnsi" w:cstheme="minorHAnsi"/>
        </w:rPr>
        <w:t>3</w:t>
      </w:r>
    </w:p>
    <w:p w14:paraId="1D468314" w14:textId="77777777" w:rsidR="00FE476B" w:rsidRDefault="00FE476B" w:rsidP="004135B1">
      <w:pPr>
        <w:pStyle w:val="Bodyleftbold"/>
        <w:spacing w:line="240" w:lineRule="exact"/>
        <w:rPr>
          <w:rFonts w:asciiTheme="minorHAnsi" w:hAnsiTheme="minorHAnsi" w:cstheme="minorHAnsi"/>
          <w:b w:val="0"/>
        </w:rPr>
      </w:pPr>
      <w:r w:rsidRPr="002118A5">
        <w:rPr>
          <w:rFonts w:asciiTheme="minorHAnsi" w:hAnsiTheme="minorHAnsi" w:cstheme="minorHAnsi"/>
        </w:rPr>
        <w:t>Odhodki ZZZS so izkazani po načelu denarnega toka in v letu 202</w:t>
      </w:r>
      <w:r>
        <w:rPr>
          <w:rFonts w:asciiTheme="minorHAnsi" w:hAnsiTheme="minorHAnsi" w:cstheme="minorHAnsi"/>
        </w:rPr>
        <w:t>3</w:t>
      </w:r>
      <w:r w:rsidRPr="002118A5">
        <w:rPr>
          <w:rFonts w:asciiTheme="minorHAnsi" w:hAnsiTheme="minorHAnsi" w:cstheme="minorHAnsi"/>
        </w:rPr>
        <w:t xml:space="preserve"> znašajo </w:t>
      </w:r>
      <w:r>
        <w:rPr>
          <w:rFonts w:asciiTheme="minorHAnsi" w:hAnsiTheme="minorHAnsi" w:cstheme="minorHAnsi"/>
        </w:rPr>
        <w:t>4</w:t>
      </w:r>
      <w:r w:rsidRPr="008765F2">
        <w:rPr>
          <w:rFonts w:asciiTheme="minorHAnsi" w:hAnsiTheme="minorHAnsi" w:cstheme="minorHAnsi"/>
        </w:rPr>
        <w:t>.</w:t>
      </w:r>
      <w:r>
        <w:rPr>
          <w:rFonts w:asciiTheme="minorHAnsi" w:hAnsiTheme="minorHAnsi" w:cstheme="minorHAnsi"/>
        </w:rPr>
        <w:t>394</w:t>
      </w:r>
      <w:r w:rsidRPr="008765F2">
        <w:rPr>
          <w:rFonts w:asciiTheme="minorHAnsi" w:hAnsiTheme="minorHAnsi" w:cstheme="minorHAnsi"/>
        </w:rPr>
        <w:t>,</w:t>
      </w:r>
      <w:r>
        <w:rPr>
          <w:rFonts w:asciiTheme="minorHAnsi" w:hAnsiTheme="minorHAnsi" w:cstheme="minorHAnsi"/>
        </w:rPr>
        <w:t>7</w:t>
      </w:r>
      <w:r w:rsidRPr="008765F2">
        <w:rPr>
          <w:rFonts w:asciiTheme="minorHAnsi" w:hAnsiTheme="minorHAnsi" w:cstheme="minorHAnsi"/>
        </w:rPr>
        <w:t xml:space="preserve"> milijona evrov. </w:t>
      </w:r>
      <w:r w:rsidRPr="008765F2">
        <w:rPr>
          <w:rFonts w:asciiTheme="minorHAnsi" w:hAnsiTheme="minorHAnsi" w:cstheme="minorHAnsi"/>
          <w:b w:val="0"/>
        </w:rPr>
        <w:t xml:space="preserve">V primerjavi s predhodnim letom so večji za </w:t>
      </w:r>
      <w:r>
        <w:rPr>
          <w:rFonts w:asciiTheme="minorHAnsi" w:hAnsiTheme="minorHAnsi" w:cstheme="minorHAnsi"/>
          <w:b w:val="0"/>
        </w:rPr>
        <w:t>8</w:t>
      </w:r>
      <w:r w:rsidRPr="008765F2">
        <w:rPr>
          <w:rFonts w:asciiTheme="minorHAnsi" w:hAnsiTheme="minorHAnsi" w:cstheme="minorHAnsi"/>
          <w:b w:val="0"/>
        </w:rPr>
        <w:t>,</w:t>
      </w:r>
      <w:r>
        <w:rPr>
          <w:rFonts w:asciiTheme="minorHAnsi" w:hAnsiTheme="minorHAnsi" w:cstheme="minorHAnsi"/>
          <w:b w:val="0"/>
        </w:rPr>
        <w:t>5</w:t>
      </w:r>
      <w:r w:rsidRPr="008765F2">
        <w:rPr>
          <w:rFonts w:asciiTheme="minorHAnsi" w:hAnsiTheme="minorHAnsi" w:cstheme="minorHAnsi"/>
          <w:b w:val="0"/>
        </w:rPr>
        <w:t xml:space="preserve"> % oziroma za </w:t>
      </w:r>
      <w:r>
        <w:rPr>
          <w:rFonts w:asciiTheme="minorHAnsi" w:hAnsiTheme="minorHAnsi" w:cstheme="minorHAnsi"/>
          <w:b w:val="0"/>
        </w:rPr>
        <w:t>344,6</w:t>
      </w:r>
      <w:r w:rsidRPr="008765F2">
        <w:rPr>
          <w:rFonts w:asciiTheme="minorHAnsi" w:hAnsiTheme="minorHAnsi" w:cstheme="minorHAnsi"/>
          <w:b w:val="0"/>
        </w:rPr>
        <w:t xml:space="preserve"> milijona evrov. </w:t>
      </w:r>
      <w:r w:rsidRPr="002118A5">
        <w:rPr>
          <w:rFonts w:asciiTheme="minorHAnsi" w:hAnsiTheme="minorHAnsi" w:cstheme="minorHAnsi"/>
          <w:b w:val="0"/>
        </w:rPr>
        <w:t xml:space="preserve">Največjo rast odhodkov </w:t>
      </w:r>
      <w:r w:rsidRPr="008765F2">
        <w:rPr>
          <w:rFonts w:asciiTheme="minorHAnsi" w:hAnsiTheme="minorHAnsi" w:cstheme="minorHAnsi"/>
          <w:b w:val="0"/>
        </w:rPr>
        <w:t>izkazujejo odhodki za</w:t>
      </w:r>
      <w:r>
        <w:rPr>
          <w:rFonts w:asciiTheme="minorHAnsi" w:hAnsiTheme="minorHAnsi" w:cstheme="minorHAnsi"/>
          <w:b w:val="0"/>
        </w:rPr>
        <w:t xml:space="preserve"> cepiva </w:t>
      </w:r>
      <w:r w:rsidRPr="002118A5">
        <w:rPr>
          <w:rFonts w:asciiTheme="minorHAnsi" w:hAnsiTheme="minorHAnsi" w:cstheme="minorHAnsi"/>
          <w:b w:val="0"/>
        </w:rPr>
        <w:t>(</w:t>
      </w:r>
      <w:r>
        <w:rPr>
          <w:rFonts w:asciiTheme="minorHAnsi" w:hAnsiTheme="minorHAnsi" w:cstheme="minorHAnsi"/>
          <w:b w:val="0"/>
        </w:rPr>
        <w:t>54,4</w:t>
      </w:r>
      <w:r w:rsidRPr="008765F2">
        <w:rPr>
          <w:rFonts w:asciiTheme="minorHAnsi" w:hAnsiTheme="minorHAnsi" w:cstheme="minorHAnsi"/>
          <w:b w:val="0"/>
        </w:rPr>
        <w:t> %)</w:t>
      </w:r>
      <w:r>
        <w:rPr>
          <w:rFonts w:asciiTheme="minorHAnsi" w:hAnsiTheme="minorHAnsi" w:cstheme="minorHAnsi"/>
          <w:b w:val="0"/>
        </w:rPr>
        <w:t xml:space="preserve">, sledijo odhodki za zdravljenje v tujini (31,5 %), </w:t>
      </w:r>
      <w:r w:rsidRPr="008765F2">
        <w:rPr>
          <w:rFonts w:asciiTheme="minorHAnsi" w:hAnsiTheme="minorHAnsi" w:cstheme="minorHAnsi"/>
          <w:b w:val="0"/>
        </w:rPr>
        <w:t>odhodki za medicinske pripomočke (</w:t>
      </w:r>
      <w:r>
        <w:rPr>
          <w:rFonts w:asciiTheme="minorHAnsi" w:hAnsiTheme="minorHAnsi" w:cstheme="minorHAnsi"/>
          <w:b w:val="0"/>
        </w:rPr>
        <w:t>18</w:t>
      </w:r>
      <w:r w:rsidRPr="008765F2">
        <w:rPr>
          <w:rFonts w:asciiTheme="minorHAnsi" w:hAnsiTheme="minorHAnsi" w:cstheme="minorHAnsi"/>
          <w:b w:val="0"/>
        </w:rPr>
        <w:t> %)</w:t>
      </w:r>
      <w:r>
        <w:rPr>
          <w:rFonts w:asciiTheme="minorHAnsi" w:hAnsiTheme="minorHAnsi" w:cstheme="minorHAnsi"/>
          <w:b w:val="0"/>
        </w:rPr>
        <w:t xml:space="preserve">, odhodki iz naslova mednarodnih sporazumov (13,8 %), </w:t>
      </w:r>
      <w:r w:rsidRPr="008765F2">
        <w:rPr>
          <w:rFonts w:asciiTheme="minorHAnsi" w:hAnsiTheme="minorHAnsi" w:cstheme="minorHAnsi"/>
          <w:b w:val="0"/>
        </w:rPr>
        <w:t>odhodki za zdravila (</w:t>
      </w:r>
      <w:r>
        <w:rPr>
          <w:rFonts w:asciiTheme="minorHAnsi" w:hAnsiTheme="minorHAnsi" w:cstheme="minorHAnsi"/>
          <w:b w:val="0"/>
        </w:rPr>
        <w:t>13,3</w:t>
      </w:r>
      <w:r w:rsidRPr="008765F2">
        <w:rPr>
          <w:rFonts w:asciiTheme="minorHAnsi" w:hAnsiTheme="minorHAnsi" w:cstheme="minorHAnsi"/>
          <w:b w:val="0"/>
        </w:rPr>
        <w:t> %)</w:t>
      </w:r>
      <w:r>
        <w:rPr>
          <w:rFonts w:asciiTheme="minorHAnsi" w:hAnsiTheme="minorHAnsi" w:cstheme="minorHAnsi"/>
          <w:b w:val="0"/>
        </w:rPr>
        <w:t xml:space="preserve"> in </w:t>
      </w:r>
      <w:r w:rsidRPr="008765F2">
        <w:rPr>
          <w:rFonts w:asciiTheme="minorHAnsi" w:hAnsiTheme="minorHAnsi" w:cstheme="minorHAnsi"/>
          <w:b w:val="0"/>
        </w:rPr>
        <w:t xml:space="preserve">odhodki </w:t>
      </w:r>
      <w:r>
        <w:rPr>
          <w:rFonts w:asciiTheme="minorHAnsi" w:hAnsiTheme="minorHAnsi" w:cstheme="minorHAnsi"/>
          <w:b w:val="0"/>
        </w:rPr>
        <w:t>za zdravstvene storitve (12,5 %).</w:t>
      </w:r>
      <w:r w:rsidRPr="008765F2">
        <w:rPr>
          <w:rFonts w:asciiTheme="minorHAnsi" w:hAnsiTheme="minorHAnsi" w:cstheme="minorHAnsi"/>
          <w:b w:val="0"/>
        </w:rPr>
        <w:t xml:space="preserve"> </w:t>
      </w:r>
    </w:p>
    <w:p w14:paraId="351F452C" w14:textId="77777777" w:rsidR="00FE476B" w:rsidRPr="008765F2" w:rsidRDefault="00FE476B" w:rsidP="00FE476B">
      <w:pPr>
        <w:pStyle w:val="Bodyleftbold"/>
        <w:spacing w:line="240" w:lineRule="auto"/>
        <w:rPr>
          <w:rFonts w:asciiTheme="minorHAnsi" w:hAnsiTheme="minorHAnsi" w:cstheme="minorHAnsi"/>
          <w:b w:val="0"/>
        </w:rPr>
      </w:pPr>
    </w:p>
    <w:p w14:paraId="0BAD7796" w14:textId="77777777" w:rsidR="00FE476B" w:rsidRPr="008765F2" w:rsidDel="002118A5" w:rsidRDefault="00FE476B" w:rsidP="00FE476B">
      <w:pPr>
        <w:pStyle w:val="Bodyleftbold"/>
        <w:spacing w:line="240" w:lineRule="auto"/>
        <w:jc w:val="center"/>
        <w:rPr>
          <w:rFonts w:asciiTheme="minorHAnsi" w:hAnsiTheme="minorHAnsi" w:cstheme="minorHAnsi"/>
          <w:b w:val="0"/>
        </w:rPr>
      </w:pPr>
      <w:r>
        <w:rPr>
          <w:noProof/>
        </w:rPr>
        <w:drawing>
          <wp:inline distT="0" distB="0" distL="0" distR="0" wp14:anchorId="2F4E7693" wp14:editId="7027BDF7">
            <wp:extent cx="4930444" cy="2604211"/>
            <wp:effectExtent l="0" t="0" r="3810" b="5715"/>
            <wp:docPr id="6" name="Grafikon 6">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D17DBA" w14:textId="77777777" w:rsidR="00FE476B" w:rsidRPr="005C6F53" w:rsidDel="002118A5" w:rsidRDefault="00FE476B" w:rsidP="00FE476B">
      <w:pPr>
        <w:pStyle w:val="Telobesedila1"/>
        <w:spacing w:line="240" w:lineRule="auto"/>
        <w:jc w:val="center"/>
        <w:rPr>
          <w:rFonts w:asciiTheme="minorHAnsi" w:hAnsiTheme="minorHAnsi" w:cstheme="minorHAnsi"/>
          <w:i/>
          <w:color w:val="auto"/>
        </w:rPr>
      </w:pPr>
      <w:r w:rsidRPr="008765F2" w:rsidDel="002118A5">
        <w:rPr>
          <w:rFonts w:asciiTheme="minorHAnsi" w:hAnsiTheme="minorHAnsi" w:cstheme="minorHAnsi"/>
          <w:i/>
          <w:color w:val="auto"/>
        </w:rPr>
        <w:t>Slika 2: Struktura odhodkov ZZZS v letu 202</w:t>
      </w:r>
      <w:r>
        <w:rPr>
          <w:rFonts w:asciiTheme="minorHAnsi" w:hAnsiTheme="minorHAnsi" w:cstheme="minorHAnsi"/>
          <w:i/>
          <w:color w:val="auto"/>
        </w:rPr>
        <w:t>3</w:t>
      </w:r>
      <w:r w:rsidRPr="005C6F53" w:rsidDel="002118A5">
        <w:rPr>
          <w:rFonts w:asciiTheme="minorHAnsi" w:hAnsiTheme="minorHAnsi" w:cstheme="minorHAnsi"/>
          <w:i/>
          <w:color w:val="auto"/>
        </w:rPr>
        <w:t>.</w:t>
      </w:r>
    </w:p>
    <w:p w14:paraId="37D0FFF1" w14:textId="77777777" w:rsidR="00FE476B" w:rsidRDefault="00FE476B" w:rsidP="00FE476B">
      <w:pPr>
        <w:pStyle w:val="Bodyleftbold"/>
        <w:spacing w:line="240" w:lineRule="auto"/>
        <w:rPr>
          <w:rFonts w:asciiTheme="minorHAnsi" w:hAnsiTheme="minorHAnsi" w:cstheme="minorHAnsi"/>
        </w:rPr>
      </w:pPr>
    </w:p>
    <w:p w14:paraId="74B1ADAB" w14:textId="77777777" w:rsidR="004135B1" w:rsidRDefault="004135B1" w:rsidP="004135B1">
      <w:pPr>
        <w:pStyle w:val="Bodyleftbold"/>
        <w:spacing w:line="240" w:lineRule="exact"/>
        <w:rPr>
          <w:rFonts w:asciiTheme="minorHAnsi" w:hAnsiTheme="minorHAnsi" w:cstheme="minorHAnsi"/>
        </w:rPr>
      </w:pPr>
    </w:p>
    <w:p w14:paraId="0F442322" w14:textId="77777777" w:rsidR="004135B1" w:rsidRDefault="004135B1" w:rsidP="004135B1">
      <w:pPr>
        <w:pStyle w:val="Bodyleftbold"/>
        <w:spacing w:line="240" w:lineRule="exact"/>
        <w:rPr>
          <w:rFonts w:asciiTheme="minorHAnsi" w:hAnsiTheme="minorHAnsi" w:cstheme="minorHAnsi"/>
        </w:rPr>
      </w:pPr>
    </w:p>
    <w:p w14:paraId="67F7A34E" w14:textId="5F605FB2" w:rsidR="00FE476B" w:rsidRPr="008765F2" w:rsidRDefault="00FE476B" w:rsidP="004135B1">
      <w:pPr>
        <w:pStyle w:val="Bodyleftbold"/>
        <w:spacing w:line="240" w:lineRule="exact"/>
        <w:rPr>
          <w:rFonts w:asciiTheme="minorHAnsi" w:hAnsiTheme="minorHAnsi" w:cstheme="minorHAnsi"/>
        </w:rPr>
      </w:pPr>
      <w:r w:rsidRPr="008765F2">
        <w:rPr>
          <w:rFonts w:asciiTheme="minorHAnsi" w:hAnsiTheme="minorHAnsi" w:cstheme="minorHAnsi"/>
        </w:rPr>
        <w:lastRenderedPageBreak/>
        <w:t>a) Odhodki za zdravstveno dejavnost</w:t>
      </w:r>
    </w:p>
    <w:p w14:paraId="2240D09D" w14:textId="782EB15D" w:rsidR="00FE476B" w:rsidRPr="008765F2" w:rsidRDefault="00FE476B" w:rsidP="004135B1">
      <w:pPr>
        <w:pStyle w:val="Telobesedila1"/>
        <w:spacing w:line="240" w:lineRule="exact"/>
        <w:rPr>
          <w:rFonts w:asciiTheme="minorHAnsi" w:hAnsiTheme="minorHAnsi" w:cstheme="minorHAnsi"/>
          <w:color w:val="auto"/>
        </w:rPr>
      </w:pPr>
      <w:r>
        <w:rPr>
          <w:rFonts w:asciiTheme="minorHAnsi" w:hAnsiTheme="minorHAnsi" w:cstheme="minorHAnsi"/>
          <w:color w:val="auto"/>
        </w:rPr>
        <w:t>Odhodki za zdravstveno dejavnost vključujejo o</w:t>
      </w:r>
      <w:r w:rsidRPr="008765F2">
        <w:rPr>
          <w:rFonts w:asciiTheme="minorHAnsi" w:hAnsiTheme="minorHAnsi" w:cstheme="minorHAnsi"/>
          <w:color w:val="auto"/>
        </w:rPr>
        <w:t>dhodk</w:t>
      </w:r>
      <w:r>
        <w:rPr>
          <w:rFonts w:asciiTheme="minorHAnsi" w:hAnsiTheme="minorHAnsi" w:cstheme="minorHAnsi"/>
          <w:color w:val="auto"/>
        </w:rPr>
        <w:t>e</w:t>
      </w:r>
      <w:r w:rsidRPr="008765F2">
        <w:rPr>
          <w:rFonts w:asciiTheme="minorHAnsi" w:hAnsiTheme="minorHAnsi" w:cstheme="minorHAnsi"/>
          <w:color w:val="auto"/>
        </w:rPr>
        <w:t xml:space="preserve"> za zdravstvene storitve, zdravila, medicinske pripomočke, cepiva, odhodk</w:t>
      </w:r>
      <w:r>
        <w:rPr>
          <w:rFonts w:asciiTheme="minorHAnsi" w:hAnsiTheme="minorHAnsi" w:cstheme="minorHAnsi"/>
          <w:color w:val="auto"/>
        </w:rPr>
        <w:t xml:space="preserve">e </w:t>
      </w:r>
      <w:r w:rsidRPr="008765F2">
        <w:rPr>
          <w:rFonts w:asciiTheme="minorHAnsi" w:hAnsiTheme="minorHAnsi" w:cstheme="minorHAnsi"/>
          <w:color w:val="auto"/>
        </w:rPr>
        <w:t>za zdravljenje v tujini in odhodk</w:t>
      </w:r>
      <w:r>
        <w:rPr>
          <w:rFonts w:asciiTheme="minorHAnsi" w:hAnsiTheme="minorHAnsi" w:cstheme="minorHAnsi"/>
          <w:color w:val="auto"/>
        </w:rPr>
        <w:t>e</w:t>
      </w:r>
      <w:r w:rsidRPr="008765F2">
        <w:rPr>
          <w:rFonts w:asciiTheme="minorHAnsi" w:hAnsiTheme="minorHAnsi" w:cstheme="minorHAnsi"/>
          <w:color w:val="auto"/>
        </w:rPr>
        <w:t xml:space="preserve"> po mednarodnih sporazumih</w:t>
      </w:r>
      <w:r>
        <w:rPr>
          <w:rFonts w:asciiTheme="minorHAnsi" w:hAnsiTheme="minorHAnsi" w:cstheme="minorHAnsi"/>
          <w:color w:val="auto"/>
        </w:rPr>
        <w:t xml:space="preserve"> in </w:t>
      </w:r>
      <w:r w:rsidRPr="008765F2">
        <w:rPr>
          <w:rFonts w:asciiTheme="minorHAnsi" w:hAnsiTheme="minorHAnsi" w:cstheme="minorHAnsi"/>
          <w:color w:val="auto"/>
        </w:rPr>
        <w:t xml:space="preserve">predstavljajo </w:t>
      </w:r>
      <w:r>
        <w:rPr>
          <w:rFonts w:asciiTheme="minorHAnsi" w:hAnsiTheme="minorHAnsi" w:cstheme="minorHAnsi"/>
          <w:color w:val="auto"/>
        </w:rPr>
        <w:t>84</w:t>
      </w:r>
      <w:r w:rsidRPr="008765F2">
        <w:rPr>
          <w:rFonts w:asciiTheme="minorHAnsi" w:hAnsiTheme="minorHAnsi" w:cstheme="minorHAnsi"/>
          <w:color w:val="auto"/>
        </w:rPr>
        <w:t>,</w:t>
      </w:r>
      <w:r>
        <w:rPr>
          <w:rFonts w:asciiTheme="minorHAnsi" w:hAnsiTheme="minorHAnsi" w:cstheme="minorHAnsi"/>
          <w:color w:val="auto"/>
        </w:rPr>
        <w:t>9</w:t>
      </w:r>
      <w:r w:rsidRPr="008765F2">
        <w:rPr>
          <w:rFonts w:asciiTheme="minorHAnsi" w:hAnsiTheme="minorHAnsi" w:cstheme="minorHAnsi"/>
          <w:color w:val="auto"/>
        </w:rPr>
        <w:t xml:space="preserve"> % vseh odhodkov ZZZS. </w:t>
      </w:r>
    </w:p>
    <w:p w14:paraId="2B8FD261" w14:textId="3BBEA225" w:rsidR="00FE476B" w:rsidRDefault="00FE476B" w:rsidP="004135B1">
      <w:pPr>
        <w:pStyle w:val="Telobesedila1"/>
        <w:spacing w:line="240" w:lineRule="exact"/>
        <w:rPr>
          <w:rFonts w:asciiTheme="minorHAnsi" w:hAnsiTheme="minorHAnsi" w:cstheme="minorHAnsi"/>
          <w:bCs/>
          <w:color w:val="auto"/>
        </w:rPr>
      </w:pPr>
      <w:r w:rsidRPr="008765F2">
        <w:rPr>
          <w:rFonts w:asciiTheme="minorHAnsi" w:hAnsiTheme="minorHAnsi" w:cstheme="minorHAnsi"/>
        </w:rPr>
        <w:t xml:space="preserve">V strukturi celotnih odhodkov ZZZS imajo </w:t>
      </w:r>
      <w:r w:rsidRPr="008765F2">
        <w:rPr>
          <w:rFonts w:asciiTheme="minorHAnsi" w:hAnsiTheme="minorHAnsi" w:cstheme="minorHAnsi"/>
          <w:i/>
          <w:u w:val="single"/>
        </w:rPr>
        <w:t>odhodki za zdravstvene storitve</w:t>
      </w:r>
      <w:r w:rsidRPr="008765F2">
        <w:rPr>
          <w:rFonts w:asciiTheme="minorHAnsi" w:hAnsiTheme="minorHAnsi" w:cstheme="minorHAnsi"/>
        </w:rPr>
        <w:t xml:space="preserve"> 6</w:t>
      </w:r>
      <w:r>
        <w:rPr>
          <w:rFonts w:asciiTheme="minorHAnsi" w:hAnsiTheme="minorHAnsi" w:cstheme="minorHAnsi"/>
        </w:rPr>
        <w:t>8</w:t>
      </w:r>
      <w:r w:rsidRPr="008765F2">
        <w:rPr>
          <w:rFonts w:asciiTheme="minorHAnsi" w:hAnsiTheme="minorHAnsi" w:cstheme="minorHAnsi"/>
        </w:rPr>
        <w:t>,</w:t>
      </w:r>
      <w:r>
        <w:rPr>
          <w:rFonts w:asciiTheme="minorHAnsi" w:hAnsiTheme="minorHAnsi" w:cstheme="minorHAnsi"/>
        </w:rPr>
        <w:t>3</w:t>
      </w:r>
      <w:r w:rsidRPr="008765F2">
        <w:rPr>
          <w:rFonts w:asciiTheme="minorHAnsi" w:hAnsiTheme="minorHAnsi" w:cstheme="minorHAnsi"/>
        </w:rPr>
        <w:t> % delež</w:t>
      </w:r>
      <w:r>
        <w:rPr>
          <w:rFonts w:asciiTheme="minorHAnsi" w:hAnsiTheme="minorHAnsi" w:cstheme="minorHAnsi"/>
        </w:rPr>
        <w:t xml:space="preserve">, </w:t>
      </w:r>
      <w:r w:rsidRPr="008765F2">
        <w:rPr>
          <w:rFonts w:asciiTheme="minorHAnsi" w:hAnsiTheme="minorHAnsi" w:cstheme="minorHAnsi"/>
        </w:rPr>
        <w:t>v letu 202</w:t>
      </w:r>
      <w:r>
        <w:rPr>
          <w:rFonts w:asciiTheme="minorHAnsi" w:hAnsiTheme="minorHAnsi" w:cstheme="minorHAnsi"/>
        </w:rPr>
        <w:t>3</w:t>
      </w:r>
      <w:r w:rsidRPr="008765F2">
        <w:rPr>
          <w:rFonts w:asciiTheme="minorHAnsi" w:hAnsiTheme="minorHAnsi" w:cstheme="minorHAnsi"/>
        </w:rPr>
        <w:t xml:space="preserve"> znašajo </w:t>
      </w:r>
      <w:r>
        <w:rPr>
          <w:rFonts w:asciiTheme="minorHAnsi" w:hAnsiTheme="minorHAnsi" w:cstheme="minorHAnsi"/>
        </w:rPr>
        <w:t>3</w:t>
      </w:r>
      <w:r w:rsidRPr="008765F2">
        <w:rPr>
          <w:rFonts w:asciiTheme="minorHAnsi" w:hAnsiTheme="minorHAnsi" w:cstheme="minorHAnsi"/>
        </w:rPr>
        <w:t>.</w:t>
      </w:r>
      <w:r>
        <w:rPr>
          <w:rFonts w:asciiTheme="minorHAnsi" w:hAnsiTheme="minorHAnsi" w:cstheme="minorHAnsi"/>
        </w:rPr>
        <w:t>000</w:t>
      </w:r>
      <w:r w:rsidRPr="008765F2">
        <w:rPr>
          <w:rFonts w:asciiTheme="minorHAnsi" w:hAnsiTheme="minorHAnsi" w:cstheme="minorHAnsi"/>
        </w:rPr>
        <w:t>,</w:t>
      </w:r>
      <w:r>
        <w:rPr>
          <w:rFonts w:asciiTheme="minorHAnsi" w:hAnsiTheme="minorHAnsi" w:cstheme="minorHAnsi"/>
        </w:rPr>
        <w:t>5</w:t>
      </w:r>
      <w:r w:rsidRPr="008765F2">
        <w:rPr>
          <w:rFonts w:asciiTheme="minorHAnsi" w:hAnsiTheme="minorHAnsi" w:cstheme="minorHAnsi"/>
        </w:rPr>
        <w:t xml:space="preserve"> milijona evrov</w:t>
      </w:r>
      <w:r>
        <w:rPr>
          <w:rFonts w:asciiTheme="minorHAnsi" w:hAnsiTheme="minorHAnsi" w:cstheme="minorHAnsi"/>
        </w:rPr>
        <w:t xml:space="preserve"> in so v skladu z načrtovanimi</w:t>
      </w:r>
      <w:r w:rsidRPr="008765F2">
        <w:rPr>
          <w:rFonts w:asciiTheme="minorHAnsi" w:hAnsiTheme="minorHAnsi" w:cstheme="minorHAnsi"/>
        </w:rPr>
        <w:t>. V primerjavi z letom 20</w:t>
      </w:r>
      <w:r>
        <w:rPr>
          <w:rFonts w:asciiTheme="minorHAnsi" w:hAnsiTheme="minorHAnsi" w:cstheme="minorHAnsi"/>
        </w:rPr>
        <w:t>22</w:t>
      </w:r>
      <w:r w:rsidRPr="008765F2">
        <w:rPr>
          <w:rFonts w:asciiTheme="minorHAnsi" w:hAnsiTheme="minorHAnsi" w:cstheme="minorHAnsi"/>
        </w:rPr>
        <w:t xml:space="preserve"> so večji za </w:t>
      </w:r>
      <w:r>
        <w:rPr>
          <w:rFonts w:asciiTheme="minorHAnsi" w:hAnsiTheme="minorHAnsi" w:cstheme="minorHAnsi"/>
        </w:rPr>
        <w:t>12,5</w:t>
      </w:r>
      <w:r w:rsidRPr="008765F2">
        <w:rPr>
          <w:rFonts w:asciiTheme="minorHAnsi" w:hAnsiTheme="minorHAnsi" w:cstheme="minorHAnsi"/>
        </w:rPr>
        <w:t xml:space="preserve"> % oz. za </w:t>
      </w:r>
      <w:r>
        <w:rPr>
          <w:rFonts w:asciiTheme="minorHAnsi" w:hAnsiTheme="minorHAnsi" w:cstheme="minorHAnsi"/>
        </w:rPr>
        <w:t>332,8</w:t>
      </w:r>
      <w:r w:rsidRPr="008765F2">
        <w:rPr>
          <w:rFonts w:asciiTheme="minorHAnsi" w:hAnsiTheme="minorHAnsi" w:cstheme="minorHAnsi"/>
        </w:rPr>
        <w:t xml:space="preserve"> milijon</w:t>
      </w:r>
      <w:r>
        <w:rPr>
          <w:rFonts w:asciiTheme="minorHAnsi" w:hAnsiTheme="minorHAnsi" w:cstheme="minorHAnsi"/>
        </w:rPr>
        <w:t>a</w:t>
      </w:r>
      <w:r w:rsidRPr="008765F2">
        <w:rPr>
          <w:rFonts w:asciiTheme="minorHAnsi" w:hAnsiTheme="minorHAnsi" w:cstheme="minorHAnsi"/>
        </w:rPr>
        <w:t xml:space="preserve"> evrov. </w:t>
      </w:r>
      <w:r>
        <w:rPr>
          <w:rFonts w:asciiTheme="minorHAnsi" w:hAnsiTheme="minorHAnsi" w:cstheme="minorHAnsi"/>
        </w:rPr>
        <w:t xml:space="preserve">Rast teh odhodkov je posledica </w:t>
      </w:r>
      <w:r w:rsidRPr="0033635C">
        <w:rPr>
          <w:rFonts w:asciiTheme="minorHAnsi" w:hAnsiTheme="minorHAnsi" w:cstheme="minorHAnsi"/>
        </w:rPr>
        <w:t xml:space="preserve">Aneksa </w:t>
      </w:r>
      <w:r>
        <w:rPr>
          <w:rFonts w:asciiTheme="minorHAnsi" w:hAnsiTheme="minorHAnsi" w:cstheme="minorHAnsi"/>
        </w:rPr>
        <w:t xml:space="preserve">št. </w:t>
      </w:r>
      <w:r w:rsidRPr="0033635C">
        <w:rPr>
          <w:rFonts w:asciiTheme="minorHAnsi" w:hAnsiTheme="minorHAnsi" w:cstheme="minorHAnsi"/>
        </w:rPr>
        <w:t>1 k Splošnemu dogovoru za leto 2022</w:t>
      </w:r>
      <w:r>
        <w:rPr>
          <w:rFonts w:asciiTheme="minorHAnsi" w:hAnsiTheme="minorHAnsi" w:cstheme="minorHAnsi"/>
        </w:rPr>
        <w:t xml:space="preserve">, </w:t>
      </w:r>
      <w:r w:rsidRPr="0033635C">
        <w:rPr>
          <w:rFonts w:asciiTheme="minorHAnsi" w:hAnsiTheme="minorHAnsi" w:cstheme="minorHAnsi"/>
        </w:rPr>
        <w:t xml:space="preserve">ukrepov na področju plač in drugih stroškov dela v zdravstveni dejavnosti, večjih plačil nad rednim obsegom programa zdravstvene dejavnosti, </w:t>
      </w:r>
      <w:r>
        <w:rPr>
          <w:rFonts w:asciiTheme="minorHAnsi" w:hAnsiTheme="minorHAnsi" w:cstheme="minorHAnsi"/>
        </w:rPr>
        <w:t xml:space="preserve">in </w:t>
      </w:r>
      <w:r w:rsidR="00B21A44">
        <w:rPr>
          <w:rFonts w:asciiTheme="minorHAnsi" w:hAnsiTheme="minorHAnsi" w:cstheme="minorHAnsi"/>
        </w:rPr>
        <w:t xml:space="preserve">vladne </w:t>
      </w:r>
      <w:r w:rsidRPr="0033635C">
        <w:rPr>
          <w:rFonts w:asciiTheme="minorHAnsi" w:hAnsiTheme="minorHAnsi" w:cstheme="minorHAnsi"/>
        </w:rPr>
        <w:t>Uredbe o programih storitev obveznega zdravstvenega zavarovanja, zmogljivostih, potrebnih za njegovo izvajanje, in obsegu sredstev</w:t>
      </w:r>
      <w:r>
        <w:rPr>
          <w:rFonts w:asciiTheme="minorHAnsi" w:hAnsiTheme="minorHAnsi" w:cstheme="minorHAnsi"/>
        </w:rPr>
        <w:t xml:space="preserve"> za leto 2023. </w:t>
      </w:r>
      <w:r w:rsidRPr="008765F2">
        <w:rPr>
          <w:rFonts w:asciiTheme="minorHAnsi" w:hAnsiTheme="minorHAnsi" w:cstheme="minorHAnsi"/>
          <w:bCs/>
          <w:color w:val="auto"/>
        </w:rPr>
        <w:t>Končni obračun za opravljene programe zdravstvenih storitev za leto 202</w:t>
      </w:r>
      <w:r>
        <w:rPr>
          <w:rFonts w:asciiTheme="minorHAnsi" w:hAnsiTheme="minorHAnsi" w:cstheme="minorHAnsi"/>
          <w:bCs/>
          <w:color w:val="auto"/>
        </w:rPr>
        <w:t>3</w:t>
      </w:r>
      <w:r w:rsidRPr="008765F2">
        <w:rPr>
          <w:rFonts w:asciiTheme="minorHAnsi" w:hAnsiTheme="minorHAnsi" w:cstheme="minorHAnsi"/>
          <w:bCs/>
          <w:color w:val="auto"/>
        </w:rPr>
        <w:t xml:space="preserve"> bo izveden do konca meseca januarja 202</w:t>
      </w:r>
      <w:r>
        <w:rPr>
          <w:rFonts w:asciiTheme="minorHAnsi" w:hAnsiTheme="minorHAnsi" w:cstheme="minorHAnsi"/>
          <w:bCs/>
          <w:color w:val="auto"/>
        </w:rPr>
        <w:t>4</w:t>
      </w:r>
      <w:r w:rsidRPr="008765F2">
        <w:rPr>
          <w:rFonts w:asciiTheme="minorHAnsi" w:hAnsiTheme="minorHAnsi" w:cstheme="minorHAnsi"/>
          <w:bCs/>
          <w:color w:val="auto"/>
        </w:rPr>
        <w:t xml:space="preserve"> in takrat bodo znani tudi podatki o </w:t>
      </w:r>
      <w:r>
        <w:rPr>
          <w:rFonts w:asciiTheme="minorHAnsi" w:hAnsiTheme="minorHAnsi" w:cstheme="minorHAnsi"/>
          <w:bCs/>
          <w:color w:val="auto"/>
        </w:rPr>
        <w:t xml:space="preserve">opravljenih storitvah in </w:t>
      </w:r>
      <w:r w:rsidRPr="008765F2">
        <w:rPr>
          <w:rFonts w:asciiTheme="minorHAnsi" w:hAnsiTheme="minorHAnsi" w:cstheme="minorHAnsi"/>
          <w:bCs/>
          <w:color w:val="auto"/>
        </w:rPr>
        <w:t>obveznostih ZZZS za programe zdravstvenih storitev za leto 20</w:t>
      </w:r>
      <w:r>
        <w:rPr>
          <w:rFonts w:asciiTheme="minorHAnsi" w:hAnsiTheme="minorHAnsi" w:cstheme="minorHAnsi"/>
          <w:bCs/>
          <w:color w:val="auto"/>
        </w:rPr>
        <w:t>23</w:t>
      </w:r>
      <w:r w:rsidRPr="008765F2">
        <w:rPr>
          <w:rFonts w:asciiTheme="minorHAnsi" w:hAnsiTheme="minorHAnsi" w:cstheme="minorHAnsi"/>
          <w:bCs/>
          <w:color w:val="auto"/>
        </w:rPr>
        <w:t>.</w:t>
      </w:r>
    </w:p>
    <w:p w14:paraId="4786A7AF" w14:textId="77777777" w:rsidR="00FE476B" w:rsidRPr="005E2C20" w:rsidRDefault="00FE476B" w:rsidP="004135B1">
      <w:pPr>
        <w:pStyle w:val="Telobesedila1"/>
        <w:spacing w:line="240" w:lineRule="exact"/>
        <w:rPr>
          <w:rFonts w:asciiTheme="minorHAnsi" w:hAnsiTheme="minorHAnsi" w:cstheme="minorHAnsi"/>
          <w:color w:val="auto"/>
        </w:rPr>
      </w:pPr>
      <w:r w:rsidRPr="008765F2">
        <w:rPr>
          <w:rFonts w:asciiTheme="minorHAnsi" w:hAnsiTheme="minorHAnsi" w:cstheme="minorHAnsi"/>
          <w:i/>
          <w:color w:val="auto"/>
          <w:u w:val="single"/>
        </w:rPr>
        <w:t>Odhodki za zdravila, medicinske pripomočke in cepiva</w:t>
      </w:r>
      <w:r w:rsidRPr="008765F2">
        <w:rPr>
          <w:rFonts w:asciiTheme="minorHAnsi" w:hAnsiTheme="minorHAnsi" w:cstheme="minorHAnsi"/>
          <w:color w:val="auto"/>
        </w:rPr>
        <w:t xml:space="preserve"> znaša</w:t>
      </w:r>
      <w:r>
        <w:rPr>
          <w:rFonts w:asciiTheme="minorHAnsi" w:hAnsiTheme="minorHAnsi" w:cstheme="minorHAnsi"/>
          <w:color w:val="auto"/>
        </w:rPr>
        <w:t>jo 648,1</w:t>
      </w:r>
      <w:r w:rsidRPr="008765F2">
        <w:rPr>
          <w:rFonts w:asciiTheme="minorHAnsi" w:hAnsiTheme="minorHAnsi" w:cstheme="minorHAnsi"/>
          <w:color w:val="auto"/>
        </w:rPr>
        <w:t xml:space="preserve"> milijona evrov in</w:t>
      </w:r>
      <w:r>
        <w:rPr>
          <w:rFonts w:asciiTheme="minorHAnsi" w:hAnsiTheme="minorHAnsi" w:cstheme="minorHAnsi"/>
          <w:color w:val="auto"/>
        </w:rPr>
        <w:t xml:space="preserve"> za 1,5 % presegajo načrtovano vrednost. </w:t>
      </w:r>
      <w:r w:rsidRPr="008765F2">
        <w:rPr>
          <w:rFonts w:asciiTheme="minorHAnsi" w:hAnsiTheme="minorHAnsi" w:cstheme="minorHAnsi"/>
          <w:color w:val="auto"/>
        </w:rPr>
        <w:t>V primerjavi z letom 20</w:t>
      </w:r>
      <w:r>
        <w:rPr>
          <w:rFonts w:asciiTheme="minorHAnsi" w:hAnsiTheme="minorHAnsi" w:cstheme="minorHAnsi"/>
          <w:color w:val="auto"/>
        </w:rPr>
        <w:t>22</w:t>
      </w:r>
      <w:r w:rsidRPr="008765F2">
        <w:rPr>
          <w:rFonts w:asciiTheme="minorHAnsi" w:hAnsiTheme="minorHAnsi" w:cstheme="minorHAnsi"/>
          <w:color w:val="auto"/>
        </w:rPr>
        <w:t xml:space="preserve"> so večji za </w:t>
      </w:r>
      <w:r>
        <w:rPr>
          <w:rFonts w:asciiTheme="minorHAnsi" w:hAnsiTheme="minorHAnsi" w:cstheme="minorHAnsi"/>
          <w:color w:val="auto"/>
        </w:rPr>
        <w:t>14</w:t>
      </w:r>
      <w:r w:rsidRPr="008765F2">
        <w:rPr>
          <w:rFonts w:asciiTheme="minorHAnsi" w:hAnsiTheme="minorHAnsi" w:cstheme="minorHAnsi"/>
          <w:color w:val="auto"/>
        </w:rPr>
        <w:t>,</w:t>
      </w:r>
      <w:r>
        <w:rPr>
          <w:rFonts w:asciiTheme="minorHAnsi" w:hAnsiTheme="minorHAnsi" w:cstheme="minorHAnsi"/>
          <w:color w:val="auto"/>
        </w:rPr>
        <w:t>6</w:t>
      </w:r>
      <w:r w:rsidRPr="008765F2">
        <w:rPr>
          <w:rFonts w:asciiTheme="minorHAnsi" w:hAnsiTheme="minorHAnsi" w:cstheme="minorHAnsi"/>
          <w:color w:val="auto"/>
        </w:rPr>
        <w:t xml:space="preserve"> % </w:t>
      </w:r>
      <w:r w:rsidRPr="00347FD2">
        <w:rPr>
          <w:rFonts w:asciiTheme="minorHAnsi" w:hAnsiTheme="minorHAnsi" w:cstheme="minorHAnsi"/>
        </w:rPr>
        <w:t xml:space="preserve">oz. za </w:t>
      </w:r>
      <w:r>
        <w:rPr>
          <w:rFonts w:asciiTheme="minorHAnsi" w:hAnsiTheme="minorHAnsi" w:cstheme="minorHAnsi"/>
        </w:rPr>
        <w:t>82,6</w:t>
      </w:r>
      <w:r w:rsidRPr="00347FD2">
        <w:rPr>
          <w:rFonts w:asciiTheme="minorHAnsi" w:hAnsiTheme="minorHAnsi" w:cstheme="minorHAnsi"/>
        </w:rPr>
        <w:t xml:space="preserve"> milijona</w:t>
      </w:r>
      <w:r>
        <w:rPr>
          <w:rFonts w:asciiTheme="minorHAnsi" w:hAnsiTheme="minorHAnsi" w:cstheme="minorHAnsi"/>
        </w:rPr>
        <w:t xml:space="preserve"> evrov.</w:t>
      </w:r>
      <w:r w:rsidRPr="00347FD2">
        <w:rPr>
          <w:rFonts w:asciiTheme="minorHAnsi" w:hAnsiTheme="minorHAnsi" w:cstheme="minorHAnsi"/>
        </w:rPr>
        <w:t xml:space="preserve"> Ti odhodki v strukturi vseh odhodkov ZZZS predstavljajo </w:t>
      </w:r>
      <w:r>
        <w:rPr>
          <w:rFonts w:asciiTheme="minorHAnsi" w:hAnsiTheme="minorHAnsi" w:cstheme="minorHAnsi"/>
        </w:rPr>
        <w:t>14</w:t>
      </w:r>
      <w:r w:rsidRPr="00347FD2">
        <w:rPr>
          <w:rFonts w:asciiTheme="minorHAnsi" w:hAnsiTheme="minorHAnsi" w:cstheme="minorHAnsi"/>
        </w:rPr>
        <w:t>,</w:t>
      </w:r>
      <w:r>
        <w:rPr>
          <w:rFonts w:asciiTheme="minorHAnsi" w:hAnsiTheme="minorHAnsi" w:cstheme="minorHAnsi"/>
        </w:rPr>
        <w:t xml:space="preserve">7 </w:t>
      </w:r>
      <w:r w:rsidRPr="00347FD2">
        <w:rPr>
          <w:rFonts w:asciiTheme="minorHAnsi" w:hAnsiTheme="minorHAnsi" w:cstheme="minorHAnsi"/>
        </w:rPr>
        <w:t xml:space="preserve">%. </w:t>
      </w:r>
      <w:r>
        <w:rPr>
          <w:rFonts w:asciiTheme="minorHAnsi" w:hAnsiTheme="minorHAnsi" w:cstheme="minorHAnsi"/>
        </w:rPr>
        <w:t xml:space="preserve">  </w:t>
      </w:r>
    </w:p>
    <w:p w14:paraId="13DBB340" w14:textId="77777777" w:rsidR="00FE476B" w:rsidRPr="005E7FB1" w:rsidRDefault="00FE476B" w:rsidP="004135B1">
      <w:pPr>
        <w:pStyle w:val="Telobesedila1"/>
        <w:spacing w:line="240" w:lineRule="exact"/>
        <w:rPr>
          <w:rFonts w:asciiTheme="minorHAnsi" w:hAnsiTheme="minorHAnsi" w:cstheme="minorHAnsi"/>
          <w:snapToGrid/>
        </w:rPr>
      </w:pPr>
      <w:r w:rsidRPr="00347FD2">
        <w:rPr>
          <w:rFonts w:asciiTheme="minorHAnsi" w:hAnsiTheme="minorHAnsi" w:cstheme="minorHAnsi"/>
          <w:snapToGrid/>
        </w:rPr>
        <w:t xml:space="preserve">Največji delež v tej skupini odhodkov predstavljajo </w:t>
      </w:r>
      <w:r w:rsidRPr="00347FD2">
        <w:rPr>
          <w:rFonts w:asciiTheme="minorHAnsi" w:hAnsiTheme="minorHAnsi" w:cstheme="minorHAnsi"/>
          <w:i/>
          <w:iCs/>
          <w:snapToGrid/>
        </w:rPr>
        <w:t>odhodki za zdravila</w:t>
      </w:r>
      <w:r w:rsidRPr="00347FD2">
        <w:rPr>
          <w:rFonts w:asciiTheme="minorHAnsi" w:hAnsiTheme="minorHAnsi" w:cstheme="minorHAnsi"/>
          <w:snapToGrid/>
        </w:rPr>
        <w:t>. V letu 202</w:t>
      </w:r>
      <w:r>
        <w:rPr>
          <w:rFonts w:asciiTheme="minorHAnsi" w:hAnsiTheme="minorHAnsi" w:cstheme="minorHAnsi"/>
          <w:snapToGrid/>
        </w:rPr>
        <w:t>3</w:t>
      </w:r>
      <w:r w:rsidRPr="00347FD2">
        <w:rPr>
          <w:rFonts w:asciiTheme="minorHAnsi" w:hAnsiTheme="minorHAnsi" w:cstheme="minorHAnsi"/>
          <w:snapToGrid/>
        </w:rPr>
        <w:t xml:space="preserve"> znašajo </w:t>
      </w:r>
      <w:r>
        <w:rPr>
          <w:rFonts w:asciiTheme="minorHAnsi" w:hAnsiTheme="minorHAnsi" w:cstheme="minorHAnsi"/>
          <w:snapToGrid/>
        </w:rPr>
        <w:t>520,8</w:t>
      </w:r>
      <w:r w:rsidRPr="00347FD2">
        <w:rPr>
          <w:rFonts w:asciiTheme="minorHAnsi" w:hAnsiTheme="minorHAnsi" w:cstheme="minorHAnsi"/>
          <w:snapToGrid/>
        </w:rPr>
        <w:t xml:space="preserve"> milijona evrov. V primerjavi z letom 202</w:t>
      </w:r>
      <w:r>
        <w:rPr>
          <w:rFonts w:asciiTheme="minorHAnsi" w:hAnsiTheme="minorHAnsi" w:cstheme="minorHAnsi"/>
          <w:snapToGrid/>
        </w:rPr>
        <w:t>2</w:t>
      </w:r>
      <w:r w:rsidRPr="00347FD2">
        <w:rPr>
          <w:rFonts w:asciiTheme="minorHAnsi" w:hAnsiTheme="minorHAnsi" w:cstheme="minorHAnsi"/>
          <w:snapToGrid/>
        </w:rPr>
        <w:t xml:space="preserve"> so večji za </w:t>
      </w:r>
      <w:r>
        <w:rPr>
          <w:rFonts w:asciiTheme="minorHAnsi" w:hAnsiTheme="minorHAnsi" w:cstheme="minorHAnsi"/>
          <w:snapToGrid/>
        </w:rPr>
        <w:t>13</w:t>
      </w:r>
      <w:r w:rsidRPr="00347FD2">
        <w:rPr>
          <w:rFonts w:asciiTheme="minorHAnsi" w:hAnsiTheme="minorHAnsi" w:cstheme="minorHAnsi"/>
          <w:snapToGrid/>
        </w:rPr>
        <w:t>,</w:t>
      </w:r>
      <w:r>
        <w:rPr>
          <w:rFonts w:asciiTheme="minorHAnsi" w:hAnsiTheme="minorHAnsi" w:cstheme="minorHAnsi"/>
          <w:snapToGrid/>
        </w:rPr>
        <w:t>3</w:t>
      </w:r>
      <w:r w:rsidRPr="00347FD2">
        <w:rPr>
          <w:rFonts w:asciiTheme="minorHAnsi" w:hAnsiTheme="minorHAnsi" w:cstheme="minorHAnsi"/>
          <w:snapToGrid/>
        </w:rPr>
        <w:t xml:space="preserve"> % oziroma za </w:t>
      </w:r>
      <w:r>
        <w:rPr>
          <w:rFonts w:asciiTheme="minorHAnsi" w:hAnsiTheme="minorHAnsi" w:cstheme="minorHAnsi"/>
          <w:snapToGrid/>
        </w:rPr>
        <w:t>61</w:t>
      </w:r>
      <w:r w:rsidRPr="00347FD2">
        <w:rPr>
          <w:rFonts w:asciiTheme="minorHAnsi" w:hAnsiTheme="minorHAnsi" w:cstheme="minorHAnsi"/>
          <w:snapToGrid/>
        </w:rPr>
        <w:t>,</w:t>
      </w:r>
      <w:r>
        <w:rPr>
          <w:rFonts w:asciiTheme="minorHAnsi" w:hAnsiTheme="minorHAnsi" w:cstheme="minorHAnsi"/>
          <w:snapToGrid/>
        </w:rPr>
        <w:t>2</w:t>
      </w:r>
      <w:r w:rsidRPr="00347FD2">
        <w:rPr>
          <w:rFonts w:asciiTheme="minorHAnsi" w:hAnsiTheme="minorHAnsi" w:cstheme="minorHAnsi"/>
          <w:snapToGrid/>
        </w:rPr>
        <w:t xml:space="preserve"> milijona evrov</w:t>
      </w:r>
      <w:r>
        <w:rPr>
          <w:rFonts w:asciiTheme="minorHAnsi" w:hAnsiTheme="minorHAnsi" w:cstheme="minorHAnsi"/>
          <w:snapToGrid/>
        </w:rPr>
        <w:t xml:space="preserve">, </w:t>
      </w:r>
      <w:r>
        <w:rPr>
          <w:rFonts w:asciiTheme="minorHAnsi" w:hAnsiTheme="minorHAnsi" w:cstheme="minorHAnsi"/>
        </w:rPr>
        <w:t>kar je posledica rasti porabe zdravil in</w:t>
      </w:r>
      <w:r w:rsidRPr="0027715B">
        <w:rPr>
          <w:rFonts w:asciiTheme="minorHAnsi" w:hAnsiTheme="minorHAnsi" w:cstheme="minorHAnsi"/>
        </w:rPr>
        <w:t xml:space="preserve"> pogostej</w:t>
      </w:r>
      <w:r>
        <w:rPr>
          <w:rFonts w:asciiTheme="minorHAnsi" w:hAnsiTheme="minorHAnsi" w:cstheme="minorHAnsi"/>
        </w:rPr>
        <w:t>šega</w:t>
      </w:r>
      <w:r w:rsidRPr="0027715B">
        <w:rPr>
          <w:rFonts w:asciiTheme="minorHAnsi" w:hAnsiTheme="minorHAnsi" w:cstheme="minorHAnsi"/>
        </w:rPr>
        <w:t xml:space="preserve"> razvršča</w:t>
      </w:r>
      <w:r>
        <w:rPr>
          <w:rFonts w:asciiTheme="minorHAnsi" w:hAnsiTheme="minorHAnsi" w:cstheme="minorHAnsi"/>
        </w:rPr>
        <w:t xml:space="preserve">nja </w:t>
      </w:r>
      <w:r w:rsidRPr="0027715B">
        <w:rPr>
          <w:rFonts w:asciiTheme="minorHAnsi" w:hAnsiTheme="minorHAnsi" w:cstheme="minorHAnsi"/>
        </w:rPr>
        <w:t>nov</w:t>
      </w:r>
      <w:r>
        <w:rPr>
          <w:rFonts w:asciiTheme="minorHAnsi" w:hAnsiTheme="minorHAnsi" w:cstheme="minorHAnsi"/>
        </w:rPr>
        <w:t xml:space="preserve">ih, dražjih </w:t>
      </w:r>
      <w:r w:rsidRPr="0027715B">
        <w:rPr>
          <w:rFonts w:asciiTheme="minorHAnsi" w:hAnsiTheme="minorHAnsi" w:cstheme="minorHAnsi"/>
        </w:rPr>
        <w:t>(biološ</w:t>
      </w:r>
      <w:r>
        <w:rPr>
          <w:rFonts w:asciiTheme="minorHAnsi" w:hAnsiTheme="minorHAnsi" w:cstheme="minorHAnsi"/>
        </w:rPr>
        <w:t>kih</w:t>
      </w:r>
      <w:r w:rsidRPr="0027715B">
        <w:rPr>
          <w:rFonts w:asciiTheme="minorHAnsi" w:hAnsiTheme="minorHAnsi" w:cstheme="minorHAnsi"/>
        </w:rPr>
        <w:t>)</w:t>
      </w:r>
      <w:r>
        <w:rPr>
          <w:rFonts w:asciiTheme="minorHAnsi" w:hAnsiTheme="minorHAnsi" w:cstheme="minorHAnsi"/>
        </w:rPr>
        <w:t xml:space="preserve"> </w:t>
      </w:r>
      <w:r w:rsidRPr="0027715B">
        <w:rPr>
          <w:rFonts w:asciiTheme="minorHAnsi" w:hAnsiTheme="minorHAnsi" w:cstheme="minorHAnsi"/>
        </w:rPr>
        <w:t>zdravil, ki prispevajo k večjemu preživetju bolnikov, daljši življenjski dobi, izboljšanju kakovosti življenja ali ozdravitvi bolnikov</w:t>
      </w:r>
      <w:r>
        <w:rPr>
          <w:rFonts w:asciiTheme="minorHAnsi" w:hAnsiTheme="minorHAnsi" w:cstheme="minorHAnsi"/>
        </w:rPr>
        <w:t xml:space="preserve">. Načrtovane odhodke presegajo </w:t>
      </w:r>
      <w:r w:rsidRPr="00347FD2">
        <w:rPr>
          <w:rFonts w:asciiTheme="minorHAnsi" w:hAnsiTheme="minorHAnsi" w:cstheme="minorHAnsi"/>
          <w:snapToGrid/>
        </w:rPr>
        <w:t xml:space="preserve">za </w:t>
      </w:r>
      <w:r>
        <w:rPr>
          <w:rFonts w:asciiTheme="minorHAnsi" w:hAnsiTheme="minorHAnsi" w:cstheme="minorHAnsi"/>
          <w:snapToGrid/>
        </w:rPr>
        <w:t>2</w:t>
      </w:r>
      <w:r w:rsidRPr="00347FD2">
        <w:rPr>
          <w:rFonts w:asciiTheme="minorHAnsi" w:hAnsiTheme="minorHAnsi" w:cstheme="minorHAnsi"/>
          <w:snapToGrid/>
        </w:rPr>
        <w:t>,1 %</w:t>
      </w:r>
      <w:r>
        <w:rPr>
          <w:rFonts w:asciiTheme="minorHAnsi" w:hAnsiTheme="minorHAnsi" w:cstheme="minorHAnsi"/>
          <w:snapToGrid/>
        </w:rPr>
        <w:t>. Ob pojasnilu realiziranih odhodkov za zdravila  navajamo, da je ZZZS v letu 2023 prejel tudi 79,7</w:t>
      </w:r>
      <w:r w:rsidRPr="005E7FB1">
        <w:rPr>
          <w:rFonts w:asciiTheme="minorHAnsi" w:hAnsiTheme="minorHAnsi" w:cstheme="minorHAnsi"/>
          <w:snapToGrid/>
        </w:rPr>
        <w:t xml:space="preserve"> milijona evrov</w:t>
      </w:r>
      <w:r>
        <w:rPr>
          <w:rFonts w:asciiTheme="minorHAnsi" w:hAnsiTheme="minorHAnsi" w:cstheme="minorHAnsi"/>
          <w:snapToGrid/>
        </w:rPr>
        <w:t xml:space="preserve"> povračil iz naslova zdravil </w:t>
      </w:r>
      <w:r w:rsidRPr="00B84A29">
        <w:rPr>
          <w:rFonts w:asciiTheme="minorHAnsi" w:hAnsiTheme="minorHAnsi" w:cstheme="minorHAnsi"/>
        </w:rPr>
        <w:t>na temelju dogovorov o ceni in povračilu stroškov za zdravila, ki jih je ZZZS sklenil s farmacevtskimi družbami</w:t>
      </w:r>
      <w:r>
        <w:rPr>
          <w:rFonts w:asciiTheme="minorHAnsi" w:hAnsiTheme="minorHAnsi" w:cstheme="minorHAnsi"/>
        </w:rPr>
        <w:t xml:space="preserve">. </w:t>
      </w:r>
    </w:p>
    <w:p w14:paraId="6E786D72" w14:textId="77777777" w:rsidR="00FE476B" w:rsidRPr="00A3047A" w:rsidRDefault="00FE476B" w:rsidP="004135B1">
      <w:pPr>
        <w:pStyle w:val="Telobesedila"/>
        <w:spacing w:before="240"/>
        <w:rPr>
          <w:rFonts w:asciiTheme="minorHAnsi" w:hAnsiTheme="minorHAnsi" w:cstheme="minorHAnsi"/>
        </w:rPr>
      </w:pPr>
      <w:r w:rsidRPr="009C4783">
        <w:rPr>
          <w:rFonts w:asciiTheme="minorHAnsi" w:hAnsiTheme="minorHAnsi" w:cstheme="minorHAnsi"/>
          <w:i/>
        </w:rPr>
        <w:t>Odhodki za medicinske pripomočke</w:t>
      </w:r>
      <w:r w:rsidRPr="009C4783">
        <w:rPr>
          <w:rFonts w:asciiTheme="minorHAnsi" w:hAnsiTheme="minorHAnsi" w:cstheme="minorHAnsi"/>
        </w:rPr>
        <w:t xml:space="preserve"> so znašali </w:t>
      </w:r>
      <w:r>
        <w:rPr>
          <w:rFonts w:asciiTheme="minorHAnsi" w:hAnsiTheme="minorHAnsi" w:cstheme="minorHAnsi"/>
        </w:rPr>
        <w:t>116,9</w:t>
      </w:r>
      <w:r w:rsidRPr="009C4783">
        <w:rPr>
          <w:rFonts w:asciiTheme="minorHAnsi" w:hAnsiTheme="minorHAnsi" w:cstheme="minorHAnsi"/>
        </w:rPr>
        <w:t xml:space="preserve"> milijona evrov. V primerjavi z letom 202</w:t>
      </w:r>
      <w:r>
        <w:rPr>
          <w:rFonts w:asciiTheme="minorHAnsi" w:hAnsiTheme="minorHAnsi" w:cstheme="minorHAnsi"/>
        </w:rPr>
        <w:t>2</w:t>
      </w:r>
      <w:r w:rsidRPr="009C4783">
        <w:rPr>
          <w:rFonts w:asciiTheme="minorHAnsi" w:hAnsiTheme="minorHAnsi" w:cstheme="minorHAnsi"/>
        </w:rPr>
        <w:t xml:space="preserve"> so za </w:t>
      </w:r>
      <w:r>
        <w:rPr>
          <w:rFonts w:asciiTheme="minorHAnsi" w:hAnsiTheme="minorHAnsi" w:cstheme="minorHAnsi"/>
        </w:rPr>
        <w:t>18</w:t>
      </w:r>
      <w:r w:rsidRPr="009C4783">
        <w:rPr>
          <w:rFonts w:asciiTheme="minorHAnsi" w:hAnsiTheme="minorHAnsi" w:cstheme="minorHAnsi"/>
        </w:rPr>
        <w:t xml:space="preserve"> % ali </w:t>
      </w:r>
      <w:r>
        <w:rPr>
          <w:rFonts w:asciiTheme="minorHAnsi" w:hAnsiTheme="minorHAnsi" w:cstheme="minorHAnsi"/>
        </w:rPr>
        <w:t xml:space="preserve">17,8 </w:t>
      </w:r>
      <w:r w:rsidRPr="009C4783">
        <w:rPr>
          <w:rFonts w:asciiTheme="minorHAnsi" w:hAnsiTheme="minorHAnsi" w:cstheme="minorHAnsi"/>
          <w:snapToGrid w:val="0"/>
          <w:color w:val="000000"/>
        </w:rPr>
        <w:t>milijon</w:t>
      </w:r>
      <w:r>
        <w:rPr>
          <w:rFonts w:asciiTheme="minorHAnsi" w:hAnsiTheme="minorHAnsi" w:cstheme="minorHAnsi"/>
          <w:snapToGrid w:val="0"/>
          <w:color w:val="000000"/>
        </w:rPr>
        <w:t>a</w:t>
      </w:r>
      <w:r w:rsidRPr="009C4783">
        <w:rPr>
          <w:rFonts w:asciiTheme="minorHAnsi" w:hAnsiTheme="minorHAnsi" w:cstheme="minorHAnsi"/>
          <w:snapToGrid w:val="0"/>
          <w:color w:val="000000"/>
        </w:rPr>
        <w:t xml:space="preserve"> </w:t>
      </w:r>
      <w:r w:rsidRPr="00A3047A">
        <w:rPr>
          <w:rFonts w:asciiTheme="minorHAnsi" w:hAnsiTheme="minorHAnsi" w:cstheme="minorHAnsi"/>
        </w:rPr>
        <w:t xml:space="preserve">evrov večji, kar je posledica širitev pravic do medicinskih pripomočkov </w:t>
      </w:r>
      <w:r>
        <w:rPr>
          <w:rFonts w:asciiTheme="minorHAnsi" w:hAnsiTheme="minorHAnsi" w:cstheme="minorHAnsi"/>
        </w:rPr>
        <w:t xml:space="preserve">in </w:t>
      </w:r>
      <w:r w:rsidRPr="00A3047A">
        <w:rPr>
          <w:rFonts w:asciiTheme="minorHAnsi" w:hAnsiTheme="minorHAnsi" w:cstheme="minorHAnsi"/>
        </w:rPr>
        <w:t xml:space="preserve">sprememb cenovnih standardov. V primerjavi z načrtovanimi so manjši za </w:t>
      </w:r>
      <w:r>
        <w:rPr>
          <w:rFonts w:asciiTheme="minorHAnsi" w:hAnsiTheme="minorHAnsi" w:cstheme="minorHAnsi"/>
        </w:rPr>
        <w:t>3</w:t>
      </w:r>
      <w:r w:rsidRPr="00A3047A">
        <w:rPr>
          <w:rFonts w:asciiTheme="minorHAnsi" w:hAnsiTheme="minorHAnsi" w:cstheme="minorHAnsi"/>
        </w:rPr>
        <w:t xml:space="preserve"> %.</w:t>
      </w:r>
    </w:p>
    <w:p w14:paraId="1D0BAE65" w14:textId="77777777" w:rsidR="00FE476B" w:rsidRPr="00AE3C4F" w:rsidRDefault="00FE476B" w:rsidP="004135B1">
      <w:pPr>
        <w:pStyle w:val="Telobesedila1"/>
        <w:spacing w:line="240" w:lineRule="exact"/>
        <w:rPr>
          <w:rFonts w:asciiTheme="minorHAnsi" w:hAnsiTheme="minorHAnsi" w:cstheme="minorHAnsi"/>
        </w:rPr>
      </w:pPr>
      <w:r w:rsidRPr="00B30DC3">
        <w:rPr>
          <w:rFonts w:asciiTheme="minorHAnsi" w:hAnsiTheme="minorHAnsi" w:cstheme="minorHAnsi"/>
          <w:i/>
        </w:rPr>
        <w:t>Odhodki za cepiva</w:t>
      </w:r>
      <w:r w:rsidRPr="00AE3C4F">
        <w:rPr>
          <w:rFonts w:asciiTheme="minorHAnsi" w:hAnsiTheme="minorHAnsi" w:cstheme="minorHAnsi"/>
        </w:rPr>
        <w:t xml:space="preserve"> </w:t>
      </w:r>
      <w:r>
        <w:rPr>
          <w:rFonts w:asciiTheme="minorHAnsi" w:hAnsiTheme="minorHAnsi" w:cstheme="minorHAnsi"/>
        </w:rPr>
        <w:t>v strukturi vseh odhodkov ZZZS predstavljajo 0,2 % in znašajo</w:t>
      </w:r>
      <w:r w:rsidRPr="00AE3C4F">
        <w:rPr>
          <w:rFonts w:asciiTheme="minorHAnsi" w:hAnsiTheme="minorHAnsi" w:cstheme="minorHAnsi"/>
        </w:rPr>
        <w:t xml:space="preserve"> </w:t>
      </w:r>
      <w:r>
        <w:rPr>
          <w:rFonts w:asciiTheme="minorHAnsi" w:hAnsiTheme="minorHAnsi" w:cstheme="minorHAnsi"/>
        </w:rPr>
        <w:t>10</w:t>
      </w:r>
      <w:r w:rsidRPr="00AE3C4F">
        <w:rPr>
          <w:rFonts w:asciiTheme="minorHAnsi" w:hAnsiTheme="minorHAnsi" w:cstheme="minorHAnsi"/>
        </w:rPr>
        <w:t>,</w:t>
      </w:r>
      <w:r>
        <w:rPr>
          <w:rFonts w:asciiTheme="minorHAnsi" w:hAnsiTheme="minorHAnsi" w:cstheme="minorHAnsi"/>
        </w:rPr>
        <w:t>4</w:t>
      </w:r>
      <w:r w:rsidRPr="00AE3C4F">
        <w:rPr>
          <w:rFonts w:asciiTheme="minorHAnsi" w:hAnsiTheme="minorHAnsi" w:cstheme="minorHAnsi"/>
        </w:rPr>
        <w:t xml:space="preserve"> milijona evrov</w:t>
      </w:r>
      <w:r>
        <w:rPr>
          <w:rFonts w:asciiTheme="minorHAnsi" w:hAnsiTheme="minorHAnsi" w:cstheme="minorHAnsi"/>
        </w:rPr>
        <w:t xml:space="preserve">. V </w:t>
      </w:r>
      <w:r w:rsidRPr="00AE3C4F">
        <w:rPr>
          <w:rFonts w:asciiTheme="minorHAnsi" w:hAnsiTheme="minorHAnsi" w:cstheme="minorHAnsi"/>
        </w:rPr>
        <w:t xml:space="preserve">primerjavi </w:t>
      </w:r>
      <w:r>
        <w:rPr>
          <w:rFonts w:asciiTheme="minorHAnsi" w:hAnsiTheme="minorHAnsi" w:cstheme="minorHAnsi"/>
        </w:rPr>
        <w:t>s</w:t>
      </w:r>
      <w:r w:rsidRPr="00AE3C4F">
        <w:rPr>
          <w:rFonts w:asciiTheme="minorHAnsi" w:hAnsiTheme="minorHAnsi" w:cstheme="minorHAnsi"/>
        </w:rPr>
        <w:t xml:space="preserve"> </w:t>
      </w:r>
      <w:r>
        <w:rPr>
          <w:rFonts w:asciiTheme="minorHAnsi" w:hAnsiTheme="minorHAnsi" w:cstheme="minorHAnsi"/>
        </w:rPr>
        <w:t xml:space="preserve">preteklim letom so večji za 54,4 % oz. za 3,7 milijona evrov. Razlog za takšno rast je tudi </w:t>
      </w:r>
      <w:r w:rsidRPr="002646E8">
        <w:rPr>
          <w:rFonts w:ascii="Calibri" w:hAnsi="Calibri" w:cs="Calibri"/>
        </w:rPr>
        <w:t>širi</w:t>
      </w:r>
      <w:r>
        <w:rPr>
          <w:rFonts w:ascii="Calibri" w:hAnsi="Calibri" w:cs="Calibri"/>
        </w:rPr>
        <w:t xml:space="preserve">tev </w:t>
      </w:r>
      <w:r w:rsidRPr="002646E8">
        <w:rPr>
          <w:rFonts w:ascii="Calibri" w:hAnsi="Calibri" w:cs="Calibri"/>
        </w:rPr>
        <w:t>krog</w:t>
      </w:r>
      <w:r>
        <w:rPr>
          <w:rFonts w:ascii="Calibri" w:hAnsi="Calibri" w:cs="Calibri"/>
        </w:rPr>
        <w:t>a</w:t>
      </w:r>
      <w:r w:rsidRPr="002646E8">
        <w:rPr>
          <w:rFonts w:ascii="Calibri" w:hAnsi="Calibri" w:cs="Calibri"/>
        </w:rPr>
        <w:t xml:space="preserve"> upravičencev za cepivo proti pnevmokoknim okužbam</w:t>
      </w:r>
      <w:r>
        <w:rPr>
          <w:rFonts w:ascii="Calibri" w:hAnsi="Calibri" w:cs="Calibri"/>
        </w:rPr>
        <w:t xml:space="preserve">, poleg tega pa so bili </w:t>
      </w:r>
      <w:r>
        <w:rPr>
          <w:rFonts w:asciiTheme="minorHAnsi" w:hAnsiTheme="minorHAnsi" w:cstheme="minorHAnsi"/>
        </w:rPr>
        <w:t xml:space="preserve">odhodki za cepiva v preteklem letu znatno manjši zaradi sprejete interventne zakonodaje v letu 2022, ko je </w:t>
      </w:r>
      <w:r w:rsidRPr="00AE3C4F">
        <w:rPr>
          <w:rFonts w:asciiTheme="minorHAnsi" w:hAnsiTheme="minorHAnsi" w:cstheme="minorHAnsi"/>
        </w:rPr>
        <w:t xml:space="preserve">državni proračun </w:t>
      </w:r>
      <w:r>
        <w:rPr>
          <w:rFonts w:asciiTheme="minorHAnsi" w:hAnsiTheme="minorHAnsi" w:cstheme="minorHAnsi"/>
        </w:rPr>
        <w:t xml:space="preserve">začasno </w:t>
      </w:r>
      <w:r w:rsidRPr="00AE3C4F">
        <w:rPr>
          <w:rFonts w:asciiTheme="minorHAnsi" w:hAnsiTheme="minorHAnsi" w:cstheme="minorHAnsi"/>
        </w:rPr>
        <w:t>prevzel stroške za nakup cepiv za cepljenje proti sezonski gripi</w:t>
      </w:r>
      <w:r>
        <w:rPr>
          <w:rFonts w:asciiTheme="minorHAnsi" w:hAnsiTheme="minorHAnsi" w:cstheme="minorHAnsi"/>
        </w:rPr>
        <w:t>.</w:t>
      </w:r>
      <w:r w:rsidRPr="00AE3C4F">
        <w:rPr>
          <w:rFonts w:asciiTheme="minorHAnsi" w:hAnsiTheme="minorHAnsi" w:cstheme="minorHAnsi"/>
        </w:rPr>
        <w:t xml:space="preserve">  </w:t>
      </w:r>
    </w:p>
    <w:p w14:paraId="642E1575" w14:textId="77777777" w:rsidR="00FE476B" w:rsidRDefault="00FE476B" w:rsidP="004135B1">
      <w:pPr>
        <w:pStyle w:val="Telobesedila"/>
        <w:spacing w:before="240"/>
        <w:rPr>
          <w:rFonts w:asciiTheme="minorHAnsi" w:hAnsiTheme="minorHAnsi" w:cstheme="minorHAnsi"/>
          <w:snapToGrid w:val="0"/>
          <w:color w:val="000000"/>
        </w:rPr>
      </w:pPr>
      <w:r w:rsidRPr="001F5A01">
        <w:rPr>
          <w:rFonts w:asciiTheme="minorHAnsi" w:hAnsiTheme="minorHAnsi" w:cstheme="minorHAnsi"/>
          <w:i/>
          <w:iCs/>
          <w:snapToGrid w:val="0"/>
          <w:color w:val="000000"/>
          <w:u w:val="single"/>
        </w:rPr>
        <w:t>Odhodki za zdravljenje v tujini in iz naslova mednarodnih sporazumov</w:t>
      </w:r>
      <w:r w:rsidRPr="005E7FB1">
        <w:rPr>
          <w:rFonts w:asciiTheme="minorHAnsi" w:hAnsiTheme="minorHAnsi" w:cstheme="minorHAnsi"/>
          <w:snapToGrid w:val="0"/>
          <w:color w:val="000000"/>
        </w:rPr>
        <w:t xml:space="preserve"> so v letu 202</w:t>
      </w:r>
      <w:r>
        <w:rPr>
          <w:rFonts w:asciiTheme="minorHAnsi" w:hAnsiTheme="minorHAnsi" w:cstheme="minorHAnsi"/>
          <w:snapToGrid w:val="0"/>
          <w:color w:val="000000"/>
        </w:rPr>
        <w:t>3</w:t>
      </w:r>
      <w:r w:rsidRPr="005E7FB1">
        <w:rPr>
          <w:rFonts w:asciiTheme="minorHAnsi" w:hAnsiTheme="minorHAnsi" w:cstheme="minorHAnsi"/>
          <w:snapToGrid w:val="0"/>
          <w:color w:val="000000"/>
        </w:rPr>
        <w:t xml:space="preserve"> znašali </w:t>
      </w:r>
      <w:r>
        <w:rPr>
          <w:rFonts w:asciiTheme="minorHAnsi" w:hAnsiTheme="minorHAnsi" w:cstheme="minorHAnsi"/>
          <w:snapToGrid w:val="0"/>
          <w:color w:val="000000"/>
        </w:rPr>
        <w:t>80</w:t>
      </w:r>
      <w:r w:rsidRPr="005E7FB1">
        <w:rPr>
          <w:rFonts w:asciiTheme="minorHAnsi" w:hAnsiTheme="minorHAnsi" w:cstheme="minorHAnsi"/>
          <w:snapToGrid w:val="0"/>
          <w:color w:val="000000"/>
        </w:rPr>
        <w:t>,</w:t>
      </w:r>
      <w:r>
        <w:rPr>
          <w:rFonts w:asciiTheme="minorHAnsi" w:hAnsiTheme="minorHAnsi" w:cstheme="minorHAnsi"/>
          <w:snapToGrid w:val="0"/>
          <w:color w:val="000000"/>
        </w:rPr>
        <w:t>9</w:t>
      </w:r>
      <w:r w:rsidRPr="005E7FB1">
        <w:rPr>
          <w:rFonts w:asciiTheme="minorHAnsi" w:hAnsiTheme="minorHAnsi" w:cstheme="minorHAnsi"/>
          <w:snapToGrid w:val="0"/>
          <w:color w:val="000000"/>
        </w:rPr>
        <w:t xml:space="preserve"> milijona evrov in so za </w:t>
      </w:r>
      <w:r>
        <w:rPr>
          <w:rFonts w:asciiTheme="minorHAnsi" w:hAnsiTheme="minorHAnsi" w:cstheme="minorHAnsi"/>
          <w:snapToGrid w:val="0"/>
          <w:color w:val="000000"/>
        </w:rPr>
        <w:t>15,2</w:t>
      </w:r>
      <w:r w:rsidRPr="005E7FB1">
        <w:rPr>
          <w:rFonts w:asciiTheme="minorHAnsi" w:hAnsiTheme="minorHAnsi" w:cstheme="minorHAnsi"/>
          <w:snapToGrid w:val="0"/>
          <w:color w:val="000000"/>
        </w:rPr>
        <w:t xml:space="preserve"> % </w:t>
      </w:r>
      <w:r>
        <w:rPr>
          <w:rFonts w:asciiTheme="minorHAnsi" w:hAnsiTheme="minorHAnsi" w:cstheme="minorHAnsi"/>
          <w:snapToGrid w:val="0"/>
          <w:color w:val="000000"/>
        </w:rPr>
        <w:t xml:space="preserve">oz. za 10,7 milijona evrov </w:t>
      </w:r>
      <w:r w:rsidRPr="005E7FB1">
        <w:rPr>
          <w:rFonts w:asciiTheme="minorHAnsi" w:hAnsiTheme="minorHAnsi" w:cstheme="minorHAnsi"/>
          <w:snapToGrid w:val="0"/>
          <w:color w:val="000000"/>
        </w:rPr>
        <w:t>večji kot leta 202</w:t>
      </w:r>
      <w:r>
        <w:rPr>
          <w:rFonts w:asciiTheme="minorHAnsi" w:hAnsiTheme="minorHAnsi" w:cstheme="minorHAnsi"/>
          <w:snapToGrid w:val="0"/>
          <w:color w:val="000000"/>
        </w:rPr>
        <w:t xml:space="preserve">2, največ zaradi večjih odhodkov iz naslova mednarodnih sporazumov, upoštevaje tudi princip reciprocitete plačil za posamezno državo (obojestransko plačilo za isto obdobje). </w:t>
      </w:r>
    </w:p>
    <w:p w14:paraId="56FA0F41" w14:textId="77777777" w:rsidR="00FE476B" w:rsidRDefault="00FE476B" w:rsidP="004135B1">
      <w:pPr>
        <w:pStyle w:val="Bodyleftbold"/>
        <w:spacing w:line="240" w:lineRule="exact"/>
        <w:rPr>
          <w:rFonts w:asciiTheme="minorHAnsi" w:hAnsiTheme="minorHAnsi" w:cstheme="minorHAnsi"/>
        </w:rPr>
      </w:pPr>
    </w:p>
    <w:p w14:paraId="52282414" w14:textId="77777777" w:rsidR="00FE476B" w:rsidRPr="004C6D01" w:rsidRDefault="00FE476B" w:rsidP="004135B1">
      <w:pPr>
        <w:pStyle w:val="Bodyleftbold"/>
        <w:spacing w:line="240" w:lineRule="exact"/>
        <w:rPr>
          <w:rFonts w:asciiTheme="minorHAnsi" w:hAnsiTheme="minorHAnsi" w:cstheme="minorHAnsi"/>
        </w:rPr>
      </w:pPr>
      <w:r w:rsidRPr="004C6D01">
        <w:rPr>
          <w:rFonts w:asciiTheme="minorHAnsi" w:hAnsiTheme="minorHAnsi" w:cstheme="minorHAnsi"/>
        </w:rPr>
        <w:t>b) Odhodki za povračilo denarnih dajatev</w:t>
      </w:r>
    </w:p>
    <w:p w14:paraId="68FCE995" w14:textId="77777777" w:rsidR="00FE476B" w:rsidRPr="004C6D01" w:rsidRDefault="00FE476B" w:rsidP="004135B1">
      <w:pPr>
        <w:pStyle w:val="Telobesedila1"/>
        <w:spacing w:line="240" w:lineRule="exact"/>
        <w:rPr>
          <w:rFonts w:asciiTheme="minorHAnsi" w:hAnsiTheme="minorHAnsi" w:cstheme="minorHAnsi"/>
          <w:color w:val="auto"/>
        </w:rPr>
      </w:pPr>
      <w:r w:rsidRPr="004C6D01">
        <w:rPr>
          <w:rFonts w:asciiTheme="minorHAnsi" w:hAnsiTheme="minorHAnsi" w:cstheme="minorHAnsi"/>
          <w:color w:val="auto"/>
        </w:rPr>
        <w:t xml:space="preserve">Odhodki za povračilo denarnih dajatev za pravice iz obveznega zdravstvenega zavarovanja (nadomestila, potni stroški) so realizirani v višini </w:t>
      </w:r>
      <w:r>
        <w:rPr>
          <w:rFonts w:asciiTheme="minorHAnsi" w:hAnsiTheme="minorHAnsi" w:cstheme="minorHAnsi"/>
          <w:color w:val="auto"/>
        </w:rPr>
        <w:t>609</w:t>
      </w:r>
      <w:r w:rsidRPr="004C6D01">
        <w:rPr>
          <w:rFonts w:asciiTheme="minorHAnsi" w:hAnsiTheme="minorHAnsi" w:cstheme="minorHAnsi"/>
          <w:color w:val="auto"/>
        </w:rPr>
        <w:t>,</w:t>
      </w:r>
      <w:r>
        <w:rPr>
          <w:rFonts w:asciiTheme="minorHAnsi" w:hAnsiTheme="minorHAnsi" w:cstheme="minorHAnsi"/>
          <w:color w:val="auto"/>
        </w:rPr>
        <w:t>2</w:t>
      </w:r>
      <w:r w:rsidRPr="004C6D01">
        <w:rPr>
          <w:rFonts w:asciiTheme="minorHAnsi" w:hAnsiTheme="minorHAnsi" w:cstheme="minorHAnsi"/>
          <w:color w:val="auto"/>
        </w:rPr>
        <w:t xml:space="preserve"> milijona evrov in so za </w:t>
      </w:r>
      <w:r>
        <w:rPr>
          <w:rFonts w:asciiTheme="minorHAnsi" w:hAnsiTheme="minorHAnsi" w:cstheme="minorHAnsi"/>
          <w:color w:val="auto"/>
        </w:rPr>
        <w:t>11,9</w:t>
      </w:r>
      <w:r w:rsidRPr="004C6D01">
        <w:rPr>
          <w:rFonts w:asciiTheme="minorHAnsi" w:hAnsiTheme="minorHAnsi" w:cstheme="minorHAnsi"/>
          <w:color w:val="auto"/>
        </w:rPr>
        <w:t xml:space="preserve"> % ali za </w:t>
      </w:r>
      <w:r>
        <w:rPr>
          <w:rFonts w:asciiTheme="minorHAnsi" w:hAnsiTheme="minorHAnsi" w:cstheme="minorHAnsi"/>
          <w:color w:val="auto"/>
        </w:rPr>
        <w:t>82,6</w:t>
      </w:r>
      <w:r w:rsidRPr="004C6D01">
        <w:rPr>
          <w:rFonts w:asciiTheme="minorHAnsi" w:hAnsiTheme="minorHAnsi" w:cstheme="minorHAnsi"/>
          <w:color w:val="auto"/>
        </w:rPr>
        <w:t xml:space="preserve"> milijona evrov </w:t>
      </w:r>
      <w:r>
        <w:rPr>
          <w:rFonts w:asciiTheme="minorHAnsi" w:hAnsiTheme="minorHAnsi" w:cstheme="minorHAnsi"/>
          <w:color w:val="auto"/>
        </w:rPr>
        <w:t>manjši</w:t>
      </w:r>
      <w:r w:rsidRPr="004C6D01">
        <w:rPr>
          <w:rFonts w:asciiTheme="minorHAnsi" w:hAnsiTheme="minorHAnsi" w:cstheme="minorHAnsi"/>
          <w:color w:val="auto"/>
        </w:rPr>
        <w:t xml:space="preserve"> v primerjavi z letom 202</w:t>
      </w:r>
      <w:r>
        <w:rPr>
          <w:rFonts w:asciiTheme="minorHAnsi" w:hAnsiTheme="minorHAnsi" w:cstheme="minorHAnsi"/>
          <w:color w:val="auto"/>
        </w:rPr>
        <w:t>2</w:t>
      </w:r>
      <w:r w:rsidRPr="004C6D01">
        <w:rPr>
          <w:rFonts w:asciiTheme="minorHAnsi" w:hAnsiTheme="minorHAnsi" w:cstheme="minorHAnsi"/>
          <w:color w:val="auto"/>
        </w:rPr>
        <w:t xml:space="preserve"> in </w:t>
      </w:r>
      <w:r>
        <w:rPr>
          <w:rFonts w:asciiTheme="minorHAnsi" w:hAnsiTheme="minorHAnsi" w:cstheme="minorHAnsi"/>
          <w:color w:val="auto"/>
        </w:rPr>
        <w:t xml:space="preserve">za 4,5 % pod </w:t>
      </w:r>
      <w:r w:rsidRPr="004C6D01">
        <w:rPr>
          <w:rFonts w:asciiTheme="minorHAnsi" w:hAnsiTheme="minorHAnsi" w:cstheme="minorHAnsi"/>
          <w:color w:val="auto"/>
        </w:rPr>
        <w:t>načrtovani</w:t>
      </w:r>
      <w:r>
        <w:rPr>
          <w:rFonts w:asciiTheme="minorHAnsi" w:hAnsiTheme="minorHAnsi" w:cstheme="minorHAnsi"/>
          <w:color w:val="auto"/>
        </w:rPr>
        <w:t>mi.</w:t>
      </w:r>
    </w:p>
    <w:p w14:paraId="4999DC8F" w14:textId="77777777" w:rsidR="00FE476B" w:rsidRPr="004C6D01" w:rsidRDefault="00FE476B" w:rsidP="004135B1">
      <w:pPr>
        <w:pStyle w:val="Telobesedila1"/>
        <w:spacing w:line="240" w:lineRule="exact"/>
        <w:rPr>
          <w:rFonts w:ascii="Calibri" w:hAnsi="Calibri" w:cs="Arial"/>
          <w:color w:val="auto"/>
        </w:rPr>
      </w:pPr>
      <w:r w:rsidRPr="004C6D01">
        <w:rPr>
          <w:rFonts w:asciiTheme="minorHAnsi" w:hAnsiTheme="minorHAnsi" w:cstheme="minorHAnsi"/>
          <w:iCs/>
        </w:rPr>
        <w:t>Največji delež (99,</w:t>
      </w:r>
      <w:r>
        <w:rPr>
          <w:rFonts w:asciiTheme="minorHAnsi" w:hAnsiTheme="minorHAnsi" w:cstheme="minorHAnsi"/>
          <w:iCs/>
        </w:rPr>
        <w:t>6</w:t>
      </w:r>
      <w:r w:rsidRPr="004C6D01">
        <w:rPr>
          <w:rFonts w:asciiTheme="minorHAnsi" w:hAnsiTheme="minorHAnsi" w:cstheme="minorHAnsi"/>
          <w:iCs/>
        </w:rPr>
        <w:t> %) predstavljajo</w:t>
      </w:r>
      <w:r w:rsidRPr="004C6D01">
        <w:rPr>
          <w:rFonts w:asciiTheme="minorHAnsi" w:hAnsiTheme="minorHAnsi" w:cstheme="minorHAnsi"/>
          <w:i/>
          <w:u w:val="single"/>
        </w:rPr>
        <w:t xml:space="preserve"> odhodki za nadomestila plače zaradi začasne zadržanosti od dela</w:t>
      </w:r>
      <w:r w:rsidRPr="004C6D01">
        <w:rPr>
          <w:rFonts w:asciiTheme="minorHAnsi" w:hAnsiTheme="minorHAnsi" w:cstheme="minorHAnsi"/>
          <w:i/>
        </w:rPr>
        <w:t xml:space="preserve">. </w:t>
      </w:r>
      <w:r w:rsidRPr="004C6D01">
        <w:rPr>
          <w:rFonts w:asciiTheme="minorHAnsi" w:hAnsiTheme="minorHAnsi" w:cstheme="minorHAnsi"/>
          <w:iCs/>
        </w:rPr>
        <w:t>V letu 202</w:t>
      </w:r>
      <w:r>
        <w:rPr>
          <w:rFonts w:asciiTheme="minorHAnsi" w:hAnsiTheme="minorHAnsi" w:cstheme="minorHAnsi"/>
          <w:iCs/>
        </w:rPr>
        <w:t>3</w:t>
      </w:r>
      <w:r w:rsidRPr="004C6D01">
        <w:rPr>
          <w:rFonts w:asciiTheme="minorHAnsi" w:hAnsiTheme="minorHAnsi" w:cstheme="minorHAnsi"/>
          <w:i/>
        </w:rPr>
        <w:t xml:space="preserve"> </w:t>
      </w:r>
      <w:r w:rsidRPr="004C6D01">
        <w:rPr>
          <w:rFonts w:asciiTheme="minorHAnsi" w:hAnsiTheme="minorHAnsi" w:cstheme="minorHAnsi"/>
        </w:rPr>
        <w:t xml:space="preserve">so znašali </w:t>
      </w:r>
      <w:r>
        <w:rPr>
          <w:rFonts w:asciiTheme="minorHAnsi" w:hAnsiTheme="minorHAnsi" w:cstheme="minorHAnsi"/>
        </w:rPr>
        <w:t>606</w:t>
      </w:r>
      <w:r w:rsidRPr="004C6D01">
        <w:rPr>
          <w:rFonts w:asciiTheme="minorHAnsi" w:hAnsiTheme="minorHAnsi" w:cstheme="minorHAnsi"/>
        </w:rPr>
        <w:t>,</w:t>
      </w:r>
      <w:r>
        <w:rPr>
          <w:rFonts w:asciiTheme="minorHAnsi" w:hAnsiTheme="minorHAnsi" w:cstheme="minorHAnsi"/>
        </w:rPr>
        <w:t>9</w:t>
      </w:r>
      <w:r w:rsidRPr="004C6D01">
        <w:rPr>
          <w:rFonts w:asciiTheme="minorHAnsi" w:hAnsiTheme="minorHAnsi" w:cstheme="minorHAnsi"/>
        </w:rPr>
        <w:t xml:space="preserve"> milijona evrov in so za </w:t>
      </w:r>
      <w:r>
        <w:rPr>
          <w:rFonts w:asciiTheme="minorHAnsi" w:hAnsiTheme="minorHAnsi" w:cstheme="minorHAnsi"/>
        </w:rPr>
        <w:t>4,5</w:t>
      </w:r>
      <w:r w:rsidRPr="004C6D01">
        <w:rPr>
          <w:rFonts w:asciiTheme="minorHAnsi" w:hAnsiTheme="minorHAnsi" w:cstheme="minorHAnsi"/>
        </w:rPr>
        <w:t xml:space="preserve"> % pod načrtovanimi. Glede na leto 202</w:t>
      </w:r>
      <w:r>
        <w:rPr>
          <w:rFonts w:asciiTheme="minorHAnsi" w:hAnsiTheme="minorHAnsi" w:cstheme="minorHAnsi"/>
        </w:rPr>
        <w:t>2</w:t>
      </w:r>
      <w:r w:rsidRPr="004C6D01">
        <w:rPr>
          <w:rFonts w:asciiTheme="minorHAnsi" w:hAnsiTheme="minorHAnsi" w:cstheme="minorHAnsi"/>
        </w:rPr>
        <w:t xml:space="preserve"> </w:t>
      </w:r>
      <w:r>
        <w:rPr>
          <w:rFonts w:asciiTheme="minorHAnsi" w:hAnsiTheme="minorHAnsi" w:cstheme="minorHAnsi"/>
        </w:rPr>
        <w:t>so manjši za 12</w:t>
      </w:r>
      <w:r w:rsidRPr="004C6D01">
        <w:rPr>
          <w:rFonts w:asciiTheme="minorHAnsi" w:hAnsiTheme="minorHAnsi" w:cstheme="minorHAnsi"/>
        </w:rPr>
        <w:t xml:space="preserve"> % </w:t>
      </w:r>
      <w:r>
        <w:rPr>
          <w:rFonts w:asciiTheme="minorHAnsi" w:hAnsiTheme="minorHAnsi" w:cstheme="minorHAnsi"/>
        </w:rPr>
        <w:t>o</w:t>
      </w:r>
      <w:r w:rsidRPr="004C6D01">
        <w:rPr>
          <w:rFonts w:asciiTheme="minorHAnsi" w:hAnsiTheme="minorHAnsi" w:cstheme="minorHAnsi"/>
        </w:rPr>
        <w:t xml:space="preserve">z. </w:t>
      </w:r>
      <w:r>
        <w:rPr>
          <w:rFonts w:asciiTheme="minorHAnsi" w:hAnsiTheme="minorHAnsi" w:cstheme="minorHAnsi"/>
        </w:rPr>
        <w:t xml:space="preserve">za 82,5 </w:t>
      </w:r>
      <w:r w:rsidRPr="004C6D01">
        <w:rPr>
          <w:rFonts w:asciiTheme="minorHAnsi" w:hAnsiTheme="minorHAnsi" w:cstheme="minorHAnsi"/>
        </w:rPr>
        <w:t>milijona evrov</w:t>
      </w:r>
      <w:r>
        <w:rPr>
          <w:rFonts w:asciiTheme="minorHAnsi" w:hAnsiTheme="minorHAnsi" w:cstheme="minorHAnsi"/>
        </w:rPr>
        <w:t xml:space="preserve">, kar je posledica visokih odhodkov v letu 2022 zaradi še vedno prisotnih ukrepov v zvezi z omejitvijo bolezni Covid-19 </w:t>
      </w:r>
      <w:r w:rsidRPr="004C6D01">
        <w:rPr>
          <w:rFonts w:asciiTheme="minorHAnsi" w:hAnsiTheme="minorHAnsi" w:cstheme="minorHAnsi"/>
        </w:rPr>
        <w:t>(</w:t>
      </w:r>
      <w:r>
        <w:rPr>
          <w:rFonts w:asciiTheme="minorHAnsi" w:hAnsiTheme="minorHAnsi" w:cstheme="minorHAnsi"/>
        </w:rPr>
        <w:t>odhodki</w:t>
      </w:r>
      <w:r w:rsidRPr="004C6D01">
        <w:rPr>
          <w:rFonts w:asciiTheme="minorHAnsi" w:hAnsiTheme="minorHAnsi" w:cstheme="minorHAnsi"/>
        </w:rPr>
        <w:t xml:space="preserve"> nadomestil iz razloga izolacij zaradi </w:t>
      </w:r>
      <w:r>
        <w:rPr>
          <w:rFonts w:asciiTheme="minorHAnsi" w:hAnsiTheme="minorHAnsi" w:cstheme="minorHAnsi"/>
        </w:rPr>
        <w:t>Covid</w:t>
      </w:r>
      <w:r w:rsidRPr="004C6D01">
        <w:rPr>
          <w:rFonts w:asciiTheme="minorHAnsi" w:hAnsiTheme="minorHAnsi" w:cstheme="minorHAnsi"/>
        </w:rPr>
        <w:t>-19 so</w:t>
      </w:r>
      <w:r>
        <w:rPr>
          <w:rFonts w:asciiTheme="minorHAnsi" w:hAnsiTheme="minorHAnsi" w:cstheme="minorHAnsi"/>
        </w:rPr>
        <w:t xml:space="preserve"> bili </w:t>
      </w:r>
      <w:r w:rsidRPr="004C6D01">
        <w:rPr>
          <w:rFonts w:asciiTheme="minorHAnsi" w:hAnsiTheme="minorHAnsi" w:cstheme="minorHAnsi"/>
        </w:rPr>
        <w:t xml:space="preserve">v letu 2022 </w:t>
      </w:r>
      <w:r>
        <w:rPr>
          <w:rFonts w:asciiTheme="minorHAnsi" w:hAnsiTheme="minorHAnsi" w:cstheme="minorHAnsi"/>
        </w:rPr>
        <w:t>enkrat večji od leta pred tem).</w:t>
      </w:r>
      <w:r w:rsidRPr="004C6D01">
        <w:rPr>
          <w:rFonts w:asciiTheme="minorHAnsi" w:hAnsiTheme="minorHAnsi" w:cstheme="minorHAnsi"/>
        </w:rPr>
        <w:t xml:space="preserve"> </w:t>
      </w:r>
    </w:p>
    <w:p w14:paraId="12993B9A" w14:textId="77777777" w:rsidR="00FE476B" w:rsidRPr="004C6D01" w:rsidRDefault="00FE476B" w:rsidP="004135B1">
      <w:pPr>
        <w:pStyle w:val="Bodyleftbold"/>
        <w:spacing w:line="240" w:lineRule="exact"/>
        <w:rPr>
          <w:rFonts w:asciiTheme="minorHAnsi" w:hAnsiTheme="minorHAnsi" w:cstheme="minorHAnsi"/>
        </w:rPr>
      </w:pPr>
      <w:r w:rsidRPr="004C6D01">
        <w:rPr>
          <w:rFonts w:asciiTheme="minorHAnsi" w:hAnsiTheme="minorHAnsi" w:cstheme="minorHAnsi"/>
        </w:rPr>
        <w:lastRenderedPageBreak/>
        <w:t>c) Odhodki za delo službe ZZZS</w:t>
      </w:r>
    </w:p>
    <w:p w14:paraId="1B903467" w14:textId="1B5F2712" w:rsidR="00FE476B" w:rsidRPr="00A66A07" w:rsidRDefault="00FE476B" w:rsidP="004135B1">
      <w:pPr>
        <w:pStyle w:val="Bodyleftbold"/>
        <w:spacing w:line="240" w:lineRule="exact"/>
        <w:rPr>
          <w:rFonts w:asciiTheme="minorHAnsi" w:hAnsiTheme="minorHAnsi" w:cstheme="minorHAnsi"/>
          <w:b w:val="0"/>
          <w:bCs/>
        </w:rPr>
      </w:pPr>
      <w:r w:rsidRPr="00A66A07">
        <w:rPr>
          <w:rFonts w:asciiTheme="minorHAnsi" w:hAnsiTheme="minorHAnsi" w:cstheme="minorHAnsi"/>
          <w:b w:val="0"/>
          <w:bCs/>
        </w:rPr>
        <w:t>Odhodki za delo službe ZZZS so v letu 202</w:t>
      </w:r>
      <w:r>
        <w:rPr>
          <w:rFonts w:asciiTheme="minorHAnsi" w:hAnsiTheme="minorHAnsi" w:cstheme="minorHAnsi"/>
          <w:b w:val="0"/>
          <w:bCs/>
        </w:rPr>
        <w:t>3</w:t>
      </w:r>
      <w:r w:rsidRPr="00A66A07">
        <w:rPr>
          <w:rFonts w:asciiTheme="minorHAnsi" w:hAnsiTheme="minorHAnsi" w:cstheme="minorHAnsi"/>
          <w:b w:val="0"/>
          <w:bCs/>
        </w:rPr>
        <w:t xml:space="preserve"> znašali 5</w:t>
      </w:r>
      <w:r>
        <w:rPr>
          <w:rFonts w:asciiTheme="minorHAnsi" w:hAnsiTheme="minorHAnsi" w:cstheme="minorHAnsi"/>
          <w:b w:val="0"/>
          <w:bCs/>
        </w:rPr>
        <w:t>5</w:t>
      </w:r>
      <w:r w:rsidRPr="00A66A07">
        <w:rPr>
          <w:rFonts w:asciiTheme="minorHAnsi" w:hAnsiTheme="minorHAnsi" w:cstheme="minorHAnsi"/>
          <w:b w:val="0"/>
          <w:bCs/>
        </w:rPr>
        <w:t>,</w:t>
      </w:r>
      <w:r>
        <w:rPr>
          <w:rFonts w:asciiTheme="minorHAnsi" w:hAnsiTheme="minorHAnsi" w:cstheme="minorHAnsi"/>
          <w:b w:val="0"/>
          <w:bCs/>
        </w:rPr>
        <w:t>5</w:t>
      </w:r>
      <w:r w:rsidRPr="00A66A07">
        <w:rPr>
          <w:rFonts w:asciiTheme="minorHAnsi" w:hAnsiTheme="minorHAnsi" w:cstheme="minorHAnsi"/>
          <w:b w:val="0"/>
          <w:bCs/>
        </w:rPr>
        <w:t xml:space="preserve"> milijona evrov in so v okviru načrtovanih. V primerjavi z letom 202</w:t>
      </w:r>
      <w:r>
        <w:rPr>
          <w:rFonts w:asciiTheme="minorHAnsi" w:hAnsiTheme="minorHAnsi" w:cstheme="minorHAnsi"/>
          <w:b w:val="0"/>
          <w:bCs/>
        </w:rPr>
        <w:t>2</w:t>
      </w:r>
      <w:r w:rsidRPr="00A66A07">
        <w:rPr>
          <w:rFonts w:asciiTheme="minorHAnsi" w:hAnsiTheme="minorHAnsi" w:cstheme="minorHAnsi"/>
          <w:b w:val="0"/>
          <w:bCs/>
        </w:rPr>
        <w:t xml:space="preserve"> so večji za </w:t>
      </w:r>
      <w:r>
        <w:rPr>
          <w:rFonts w:asciiTheme="minorHAnsi" w:hAnsiTheme="minorHAnsi" w:cstheme="minorHAnsi"/>
          <w:b w:val="0"/>
          <w:bCs/>
        </w:rPr>
        <w:t>1</w:t>
      </w:r>
      <w:r w:rsidRPr="00A66A07">
        <w:rPr>
          <w:rFonts w:asciiTheme="minorHAnsi" w:hAnsiTheme="minorHAnsi" w:cstheme="minorHAnsi"/>
          <w:b w:val="0"/>
          <w:bCs/>
        </w:rPr>
        <w:t>,6 %. Ti odhodki predstavljajo 1,3 % vseh odhod</w:t>
      </w:r>
      <w:r w:rsidR="00B21A44">
        <w:rPr>
          <w:rFonts w:asciiTheme="minorHAnsi" w:hAnsiTheme="minorHAnsi" w:cstheme="minorHAnsi"/>
          <w:b w:val="0"/>
          <w:bCs/>
        </w:rPr>
        <w:t>k</w:t>
      </w:r>
      <w:r w:rsidRPr="00A66A07">
        <w:rPr>
          <w:rFonts w:asciiTheme="minorHAnsi" w:hAnsiTheme="minorHAnsi" w:cstheme="minorHAnsi"/>
          <w:b w:val="0"/>
          <w:bCs/>
        </w:rPr>
        <w:t>ov ZZZS</w:t>
      </w:r>
      <w:r>
        <w:rPr>
          <w:rFonts w:asciiTheme="minorHAnsi" w:hAnsiTheme="minorHAnsi" w:cstheme="minorHAnsi"/>
          <w:b w:val="0"/>
          <w:bCs/>
        </w:rPr>
        <w:t xml:space="preserve">. </w:t>
      </w:r>
    </w:p>
    <w:p w14:paraId="06370267" w14:textId="77777777" w:rsidR="00FE476B" w:rsidRDefault="00FE476B" w:rsidP="004135B1">
      <w:pPr>
        <w:pStyle w:val="Subhead1"/>
        <w:numPr>
          <w:ilvl w:val="0"/>
          <w:numId w:val="14"/>
        </w:numPr>
        <w:tabs>
          <w:tab w:val="clear" w:pos="850"/>
        </w:tabs>
        <w:spacing w:line="240" w:lineRule="exact"/>
        <w:rPr>
          <w:rFonts w:asciiTheme="minorHAnsi" w:hAnsiTheme="minorHAnsi" w:cstheme="minorHAnsi"/>
          <w:sz w:val="22"/>
          <w:szCs w:val="22"/>
        </w:rPr>
      </w:pPr>
      <w:r>
        <w:rPr>
          <w:rFonts w:asciiTheme="minorHAnsi" w:hAnsiTheme="minorHAnsi" w:cstheme="minorHAnsi"/>
          <w:sz w:val="22"/>
          <w:szCs w:val="22"/>
        </w:rPr>
        <w:t>Agentski posli</w:t>
      </w:r>
      <w:r w:rsidRPr="00504489">
        <w:rPr>
          <w:rFonts w:asciiTheme="minorHAnsi" w:hAnsiTheme="minorHAnsi" w:cstheme="minorHAnsi"/>
          <w:sz w:val="22"/>
          <w:szCs w:val="22"/>
        </w:rPr>
        <w:t xml:space="preserve"> </w:t>
      </w:r>
    </w:p>
    <w:p w14:paraId="0763D8A0" w14:textId="77777777" w:rsidR="00FE476B" w:rsidRDefault="00FE476B" w:rsidP="004135B1">
      <w:pPr>
        <w:pStyle w:val="Telobesedila1"/>
        <w:spacing w:before="0" w:line="240" w:lineRule="exact"/>
        <w:rPr>
          <w:rFonts w:ascii="Calibri" w:hAnsi="Calibri" w:cs="Calibri"/>
          <w:spacing w:val="2"/>
        </w:rPr>
      </w:pPr>
      <w:r>
        <w:rPr>
          <w:rFonts w:asciiTheme="minorHAnsi" w:hAnsiTheme="minorHAnsi" w:cstheme="minorHAnsi"/>
        </w:rPr>
        <w:t xml:space="preserve">V letu 2023 so bili še vedno prisotni </w:t>
      </w:r>
      <w:r w:rsidRPr="00A92A24">
        <w:rPr>
          <w:rFonts w:asciiTheme="minorHAnsi" w:hAnsiTheme="minorHAnsi" w:cstheme="minorHAnsi"/>
        </w:rPr>
        <w:t xml:space="preserve">finančni učinki začasnih ukrepov, ki so bili določeni z interventno zakonodajo za omilitev posledic </w:t>
      </w:r>
      <w:r>
        <w:rPr>
          <w:rFonts w:asciiTheme="minorHAnsi" w:hAnsiTheme="minorHAnsi" w:cstheme="minorHAnsi"/>
        </w:rPr>
        <w:t>nalezljive bolezni Covid</w:t>
      </w:r>
      <w:r w:rsidRPr="00A92A24">
        <w:rPr>
          <w:rFonts w:asciiTheme="minorHAnsi" w:hAnsiTheme="minorHAnsi" w:cstheme="minorHAnsi"/>
        </w:rPr>
        <w:t>-19</w:t>
      </w:r>
      <w:r>
        <w:rPr>
          <w:rFonts w:asciiTheme="minorHAnsi" w:hAnsiTheme="minorHAnsi" w:cstheme="minorHAnsi"/>
        </w:rPr>
        <w:t xml:space="preserve"> in iz naslova dodatkov za povečan obseg dela za posebne obremenitve ter za zaposlitev dodatnega zdravstvenega kadra. </w:t>
      </w:r>
      <w:r w:rsidRPr="00A92A24">
        <w:rPr>
          <w:rFonts w:asciiTheme="minorHAnsi" w:hAnsiTheme="minorHAnsi" w:cstheme="minorHAnsi"/>
        </w:rPr>
        <w:t xml:space="preserve">ZZZS </w:t>
      </w:r>
      <w:r>
        <w:rPr>
          <w:rFonts w:asciiTheme="minorHAnsi" w:hAnsiTheme="minorHAnsi" w:cstheme="minorHAnsi"/>
        </w:rPr>
        <w:t xml:space="preserve">je </w:t>
      </w:r>
      <w:r w:rsidRPr="00A92A24">
        <w:rPr>
          <w:rFonts w:asciiTheme="minorHAnsi" w:hAnsiTheme="minorHAnsi" w:cstheme="minorHAnsi"/>
        </w:rPr>
        <w:t>v letu 202</w:t>
      </w:r>
      <w:r>
        <w:rPr>
          <w:rFonts w:asciiTheme="minorHAnsi" w:hAnsiTheme="minorHAnsi" w:cstheme="minorHAnsi"/>
        </w:rPr>
        <w:t>3</w:t>
      </w:r>
      <w:r w:rsidRPr="00A92A24">
        <w:rPr>
          <w:rFonts w:asciiTheme="minorHAnsi" w:hAnsiTheme="minorHAnsi" w:cstheme="minorHAnsi"/>
        </w:rPr>
        <w:t xml:space="preserve"> za</w:t>
      </w:r>
      <w:r>
        <w:rPr>
          <w:rFonts w:asciiTheme="minorHAnsi" w:hAnsiTheme="minorHAnsi" w:cstheme="minorHAnsi"/>
        </w:rPr>
        <w:t xml:space="preserve"> te namene - brez vpliva na prihodke in odhodke ZZZS, iz državnega proračuna prejel</w:t>
      </w:r>
      <w:r w:rsidRPr="00A92A24" w:rsidDel="00593D1C">
        <w:rPr>
          <w:rFonts w:asciiTheme="minorHAnsi" w:hAnsiTheme="minorHAnsi" w:cstheme="minorHAnsi"/>
        </w:rPr>
        <w:t xml:space="preserve"> </w:t>
      </w:r>
      <w:r>
        <w:rPr>
          <w:rFonts w:asciiTheme="minorHAnsi" w:hAnsiTheme="minorHAnsi" w:cstheme="minorHAnsi"/>
        </w:rPr>
        <w:t>57,8</w:t>
      </w:r>
      <w:r w:rsidRPr="00A92A24">
        <w:rPr>
          <w:rFonts w:asciiTheme="minorHAnsi" w:hAnsiTheme="minorHAnsi" w:cstheme="minorHAnsi"/>
        </w:rPr>
        <w:t xml:space="preserve"> milijona evrov. ZZZS je upravičencem</w:t>
      </w:r>
      <w:r>
        <w:rPr>
          <w:rFonts w:asciiTheme="minorHAnsi" w:hAnsiTheme="minorHAnsi" w:cstheme="minorHAnsi"/>
        </w:rPr>
        <w:t xml:space="preserve"> (izvajalcem zdravstvenih storitev)</w:t>
      </w:r>
      <w:r w:rsidRPr="00A92A24">
        <w:rPr>
          <w:rFonts w:asciiTheme="minorHAnsi" w:hAnsiTheme="minorHAnsi" w:cstheme="minorHAnsi"/>
        </w:rPr>
        <w:t xml:space="preserve">, po prejemu sredstev </w:t>
      </w:r>
      <w:r>
        <w:rPr>
          <w:rFonts w:asciiTheme="minorHAnsi" w:hAnsiTheme="minorHAnsi" w:cstheme="minorHAnsi"/>
        </w:rPr>
        <w:t xml:space="preserve">iz </w:t>
      </w:r>
      <w:r w:rsidRPr="00A92A24">
        <w:rPr>
          <w:rFonts w:asciiTheme="minorHAnsi" w:hAnsiTheme="minorHAnsi" w:cstheme="minorHAnsi"/>
        </w:rPr>
        <w:t xml:space="preserve">državnega proračuna, </w:t>
      </w:r>
      <w:r>
        <w:rPr>
          <w:rFonts w:asciiTheme="minorHAnsi" w:hAnsiTheme="minorHAnsi" w:cstheme="minorHAnsi"/>
        </w:rPr>
        <w:t xml:space="preserve">zahtevke tudi poravnal. Poleg sredstev, prejetih iz naslova interventne zakonodaje, med </w:t>
      </w:r>
      <w:r w:rsidRPr="008226BB">
        <w:rPr>
          <w:rFonts w:asciiTheme="minorHAnsi" w:hAnsiTheme="minorHAnsi" w:cstheme="minorHAnsi"/>
        </w:rPr>
        <w:t>agentske posle</w:t>
      </w:r>
      <w:r>
        <w:rPr>
          <w:rFonts w:asciiTheme="minorHAnsi" w:hAnsiTheme="minorHAnsi" w:cstheme="minorHAnsi"/>
        </w:rPr>
        <w:t xml:space="preserve"> (kjer ZZZS nastopa v vlogi posrednika – v imenu in za račun državnega proračuna), sodijo</w:t>
      </w:r>
      <w:r w:rsidRPr="008226BB">
        <w:rPr>
          <w:rFonts w:asciiTheme="minorHAnsi" w:hAnsiTheme="minorHAnsi" w:cstheme="minorHAnsi"/>
        </w:rPr>
        <w:t xml:space="preserve"> tudi </w:t>
      </w:r>
      <w:r w:rsidRPr="008226BB">
        <w:rPr>
          <w:rFonts w:ascii="Calibri" w:hAnsi="Calibri" w:cs="Calibri"/>
          <w:spacing w:val="2"/>
        </w:rPr>
        <w:t>sredstva iz naslova povračil že izplačanih plač in nadomestil plač pripravnikov, sekundarijev in specializantov. Iz t</w:t>
      </w:r>
      <w:r>
        <w:rPr>
          <w:rFonts w:ascii="Calibri" w:hAnsi="Calibri" w:cs="Calibri"/>
          <w:spacing w:val="2"/>
        </w:rPr>
        <w:t>e</w:t>
      </w:r>
      <w:r w:rsidRPr="008226BB">
        <w:rPr>
          <w:rFonts w:ascii="Calibri" w:hAnsi="Calibri" w:cs="Calibri"/>
          <w:spacing w:val="2"/>
        </w:rPr>
        <w:t>ga naslova je ZZZS v letu 202</w:t>
      </w:r>
      <w:r>
        <w:rPr>
          <w:rFonts w:ascii="Calibri" w:hAnsi="Calibri" w:cs="Calibri"/>
          <w:spacing w:val="2"/>
        </w:rPr>
        <w:t>3 iz državnega proračuna prejel in plačal izvajalcem zdravstvenih storitev 96,8 milijona evrov.</w:t>
      </w:r>
    </w:p>
    <w:p w14:paraId="1C7A363D" w14:textId="77777777" w:rsidR="00FE476B" w:rsidRPr="00A92A24" w:rsidRDefault="00FE476B" w:rsidP="004135B1">
      <w:pPr>
        <w:pStyle w:val="Telobesedila1"/>
        <w:spacing w:before="0" w:line="240" w:lineRule="exact"/>
        <w:rPr>
          <w:rFonts w:asciiTheme="minorHAnsi" w:hAnsiTheme="minorHAnsi" w:cstheme="minorHAnsi"/>
        </w:rPr>
      </w:pPr>
    </w:p>
    <w:p w14:paraId="177F79E9" w14:textId="77777777" w:rsidR="00FE476B" w:rsidRDefault="00FE476B" w:rsidP="004135B1">
      <w:pPr>
        <w:rPr>
          <w:rFonts w:asciiTheme="minorHAnsi" w:hAnsiTheme="minorHAnsi" w:cstheme="minorHAnsi"/>
        </w:rPr>
      </w:pPr>
      <w:r>
        <w:rPr>
          <w:rFonts w:asciiTheme="minorHAnsi" w:hAnsiTheme="minorHAnsi" w:cstheme="minorHAnsi"/>
        </w:rPr>
        <w:t xml:space="preserve">Navedena plačila </w:t>
      </w:r>
      <w:r w:rsidRPr="008765F2">
        <w:rPr>
          <w:rFonts w:asciiTheme="minorHAnsi" w:hAnsiTheme="minorHAnsi" w:cstheme="minorHAnsi"/>
        </w:rPr>
        <w:t>nimajo vpliva na poslovni izid</w:t>
      </w:r>
      <w:r>
        <w:rPr>
          <w:rFonts w:asciiTheme="minorHAnsi" w:hAnsiTheme="minorHAnsi" w:cstheme="minorHAnsi"/>
        </w:rPr>
        <w:t xml:space="preserve"> ZZZS</w:t>
      </w:r>
      <w:r w:rsidRPr="008765F2">
        <w:rPr>
          <w:rFonts w:asciiTheme="minorHAnsi" w:hAnsiTheme="minorHAnsi" w:cstheme="minorHAnsi"/>
        </w:rPr>
        <w:t xml:space="preserve">, ker ima </w:t>
      </w:r>
      <w:r>
        <w:rPr>
          <w:rFonts w:asciiTheme="minorHAnsi" w:hAnsiTheme="minorHAnsi" w:cstheme="minorHAnsi"/>
        </w:rPr>
        <w:t xml:space="preserve">ZZZS </w:t>
      </w:r>
      <w:r w:rsidRPr="008765F2">
        <w:rPr>
          <w:rFonts w:asciiTheme="minorHAnsi" w:hAnsiTheme="minorHAnsi" w:cstheme="minorHAnsi"/>
        </w:rPr>
        <w:t>v te</w:t>
      </w:r>
      <w:r>
        <w:rPr>
          <w:rFonts w:asciiTheme="minorHAnsi" w:hAnsiTheme="minorHAnsi" w:cstheme="minorHAnsi"/>
        </w:rPr>
        <w:t>h</w:t>
      </w:r>
      <w:r w:rsidRPr="008765F2">
        <w:rPr>
          <w:rFonts w:asciiTheme="minorHAnsi" w:hAnsiTheme="minorHAnsi" w:cstheme="minorHAnsi"/>
        </w:rPr>
        <w:t xml:space="preserve"> primer</w:t>
      </w:r>
      <w:r>
        <w:rPr>
          <w:rFonts w:asciiTheme="minorHAnsi" w:hAnsiTheme="minorHAnsi" w:cstheme="minorHAnsi"/>
        </w:rPr>
        <w:t>ih</w:t>
      </w:r>
      <w:r w:rsidRPr="008765F2">
        <w:rPr>
          <w:rFonts w:asciiTheme="minorHAnsi" w:hAnsiTheme="minorHAnsi" w:cstheme="minorHAnsi"/>
        </w:rPr>
        <w:t xml:space="preserve"> le vlogo posrednika pri izplačevanju.</w:t>
      </w:r>
      <w:r>
        <w:rPr>
          <w:rFonts w:asciiTheme="minorHAnsi" w:hAnsiTheme="minorHAnsi" w:cstheme="minorHAnsi"/>
        </w:rPr>
        <w:t xml:space="preserve"> </w:t>
      </w:r>
    </w:p>
    <w:p w14:paraId="10749885" w14:textId="77777777" w:rsidR="00FE476B" w:rsidRPr="00504489" w:rsidRDefault="00FE476B" w:rsidP="004135B1">
      <w:pPr>
        <w:pStyle w:val="Subhead1"/>
        <w:numPr>
          <w:ilvl w:val="0"/>
          <w:numId w:val="14"/>
        </w:numPr>
        <w:tabs>
          <w:tab w:val="clear" w:pos="850"/>
        </w:tabs>
        <w:spacing w:line="240" w:lineRule="exact"/>
        <w:rPr>
          <w:rFonts w:asciiTheme="minorHAnsi" w:hAnsiTheme="minorHAnsi" w:cstheme="minorHAnsi"/>
          <w:sz w:val="22"/>
          <w:szCs w:val="22"/>
        </w:rPr>
      </w:pPr>
      <w:r w:rsidRPr="00504489">
        <w:rPr>
          <w:rFonts w:asciiTheme="minorHAnsi" w:hAnsiTheme="minorHAnsi" w:cstheme="minorHAnsi"/>
          <w:sz w:val="22"/>
          <w:szCs w:val="22"/>
        </w:rPr>
        <w:t xml:space="preserve">Zaključne ugotovitve </w:t>
      </w:r>
    </w:p>
    <w:p w14:paraId="640BD49F" w14:textId="77777777" w:rsidR="00FE476B" w:rsidRPr="003E0D31" w:rsidRDefault="00FE476B" w:rsidP="004135B1">
      <w:pPr>
        <w:rPr>
          <w:rFonts w:asciiTheme="minorHAnsi" w:eastAsia="Times New Roman" w:hAnsiTheme="minorHAnsi" w:cstheme="minorHAnsi"/>
          <w:lang w:eastAsia="sl-SI"/>
        </w:rPr>
      </w:pPr>
      <w:r w:rsidRPr="003E0D31">
        <w:rPr>
          <w:rFonts w:asciiTheme="minorHAnsi" w:eastAsia="Times New Roman" w:hAnsiTheme="minorHAnsi" w:cstheme="minorHAnsi"/>
          <w:lang w:eastAsia="sl-SI"/>
        </w:rPr>
        <w:t>ZZZS je leto 202</w:t>
      </w:r>
      <w:r>
        <w:rPr>
          <w:rFonts w:asciiTheme="minorHAnsi" w:eastAsia="Times New Roman" w:hAnsiTheme="minorHAnsi" w:cstheme="minorHAnsi"/>
          <w:lang w:eastAsia="sl-SI"/>
        </w:rPr>
        <w:t xml:space="preserve">3 </w:t>
      </w:r>
      <w:r w:rsidRPr="003E0D31">
        <w:rPr>
          <w:rFonts w:asciiTheme="minorHAnsi" w:eastAsia="Times New Roman" w:hAnsiTheme="minorHAnsi" w:cstheme="minorHAnsi"/>
          <w:lang w:eastAsia="sl-SI"/>
        </w:rPr>
        <w:t xml:space="preserve">zaključil s primanjkljajem prihodkov nad odhodki v višini </w:t>
      </w:r>
      <w:r>
        <w:rPr>
          <w:rFonts w:asciiTheme="minorHAnsi" w:eastAsia="Times New Roman" w:hAnsiTheme="minorHAnsi" w:cstheme="minorHAnsi"/>
          <w:lang w:eastAsia="sl-SI"/>
        </w:rPr>
        <w:t>76,3</w:t>
      </w:r>
      <w:r w:rsidRPr="003E0D31">
        <w:rPr>
          <w:rFonts w:asciiTheme="minorHAnsi" w:eastAsia="Times New Roman" w:hAnsiTheme="minorHAnsi" w:cstheme="minorHAnsi"/>
          <w:lang w:eastAsia="sl-SI"/>
        </w:rPr>
        <w:t xml:space="preserve"> milijona evrov. Izkazan primanjkljaj se v celoti krije iz lastnih virov, in sicer iz ustvarjenega presežka prihodkov nad odhodki iz preteklih let. Stanje lastnih virov konec leta 202</w:t>
      </w:r>
      <w:r>
        <w:rPr>
          <w:rFonts w:asciiTheme="minorHAnsi" w:eastAsia="Times New Roman" w:hAnsiTheme="minorHAnsi" w:cstheme="minorHAnsi"/>
          <w:lang w:eastAsia="sl-SI"/>
        </w:rPr>
        <w:t>3</w:t>
      </w:r>
      <w:r w:rsidRPr="003E0D31">
        <w:rPr>
          <w:rFonts w:asciiTheme="minorHAnsi" w:eastAsia="Times New Roman" w:hAnsiTheme="minorHAnsi" w:cstheme="minorHAnsi"/>
          <w:lang w:eastAsia="sl-SI"/>
        </w:rPr>
        <w:t xml:space="preserve"> znaša </w:t>
      </w:r>
      <w:r>
        <w:rPr>
          <w:rFonts w:asciiTheme="minorHAnsi" w:eastAsia="Times New Roman" w:hAnsiTheme="minorHAnsi" w:cstheme="minorHAnsi"/>
          <w:lang w:eastAsia="sl-SI"/>
        </w:rPr>
        <w:t>le 8,8</w:t>
      </w:r>
      <w:r w:rsidRPr="003E0D31">
        <w:rPr>
          <w:rFonts w:asciiTheme="minorHAnsi" w:eastAsia="Times New Roman" w:hAnsiTheme="minorHAnsi" w:cstheme="minorHAnsi"/>
          <w:lang w:eastAsia="sl-SI"/>
        </w:rPr>
        <w:t xml:space="preserve"> milijona evrov. Financiranje razkoraka med rastjo prihodkov od prispevkov in odhodkov v letu 202</w:t>
      </w:r>
      <w:r>
        <w:rPr>
          <w:rFonts w:asciiTheme="minorHAnsi" w:eastAsia="Times New Roman" w:hAnsiTheme="minorHAnsi" w:cstheme="minorHAnsi"/>
          <w:lang w:eastAsia="sl-SI"/>
        </w:rPr>
        <w:t>3</w:t>
      </w:r>
      <w:r w:rsidRPr="003E0D31">
        <w:rPr>
          <w:rFonts w:asciiTheme="minorHAnsi" w:eastAsia="Times New Roman" w:hAnsiTheme="minorHAnsi" w:cstheme="minorHAnsi"/>
          <w:lang w:eastAsia="sl-SI"/>
        </w:rPr>
        <w:t xml:space="preserve"> je bilo zagotovljeno s proračunskimi sredstvi </w:t>
      </w:r>
      <w:r>
        <w:rPr>
          <w:rFonts w:asciiTheme="minorHAnsi" w:eastAsia="Times New Roman" w:hAnsiTheme="minorHAnsi" w:cstheme="minorHAnsi"/>
          <w:lang w:eastAsia="sl-SI"/>
        </w:rPr>
        <w:t>že tretje leto zapored in z najvišjim zneskom do sedaj</w:t>
      </w:r>
      <w:r w:rsidRPr="003E0D31">
        <w:rPr>
          <w:rFonts w:asciiTheme="minorHAnsi" w:eastAsia="Times New Roman" w:hAnsiTheme="minorHAnsi" w:cstheme="minorHAnsi"/>
          <w:lang w:eastAsia="sl-SI"/>
        </w:rPr>
        <w:t xml:space="preserve"> in z lastnimi viri ZZZS iz naslova presežkov prihodkov nad odhodki iz preteklih let. </w:t>
      </w:r>
    </w:p>
    <w:p w14:paraId="31BBAD95" w14:textId="77777777" w:rsidR="00B605B3" w:rsidRDefault="00B605B3" w:rsidP="004135B1">
      <w:pPr>
        <w:tabs>
          <w:tab w:val="clear" w:pos="5670"/>
        </w:tabs>
        <w:jc w:val="left"/>
        <w:rPr>
          <w:rFonts w:asciiTheme="minorHAnsi" w:hAnsiTheme="minorHAnsi" w:cstheme="minorHAnsi"/>
          <w:bCs/>
          <w:color w:val="000000"/>
        </w:rPr>
      </w:pPr>
    </w:p>
    <w:p w14:paraId="50D62A9B" w14:textId="35D46F39" w:rsidR="001B4A2E" w:rsidRPr="005E6A8B" w:rsidRDefault="007C4C18" w:rsidP="004135B1">
      <w:pPr>
        <w:tabs>
          <w:tab w:val="clear" w:pos="5670"/>
        </w:tabs>
        <w:jc w:val="left"/>
        <w:rPr>
          <w:rFonts w:asciiTheme="minorHAnsi" w:hAnsiTheme="minorHAnsi" w:cstheme="minorHAnsi"/>
          <w:color w:val="000000"/>
          <w:lang w:eastAsia="sl-SI"/>
        </w:rPr>
      </w:pPr>
      <w:r>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t xml:space="preserve">         </w:t>
      </w:r>
      <w:r w:rsidR="001B4A2E" w:rsidRPr="00E505C7">
        <w:rPr>
          <w:rFonts w:asciiTheme="minorHAnsi" w:hAnsiTheme="minorHAnsi" w:cstheme="minorHAnsi"/>
          <w:bCs/>
          <w:color w:val="000000"/>
        </w:rPr>
        <w:t xml:space="preserve">ZAVOD ZA ZDRAVSTVENO </w:t>
      </w:r>
    </w:p>
    <w:p w14:paraId="4D1FA46B" w14:textId="0188B4CE" w:rsidR="00B500C0" w:rsidRPr="00A95F75" w:rsidRDefault="005E6A8B" w:rsidP="004135B1">
      <w:pPr>
        <w:tabs>
          <w:tab w:val="clear" w:pos="5670"/>
          <w:tab w:val="left" w:pos="5387"/>
        </w:tabs>
        <w:autoSpaceDE w:val="0"/>
        <w:autoSpaceDN w:val="0"/>
        <w:adjustRightInd w:val="0"/>
        <w:ind w:left="142"/>
        <w:rPr>
          <w:rFonts w:asciiTheme="minorHAnsi" w:hAnsiTheme="minorHAnsi" w:cstheme="minorHAnsi"/>
          <w:bCs/>
          <w:color w:val="000000"/>
        </w:rPr>
      </w:pPr>
      <w:r>
        <w:rPr>
          <w:rFonts w:asciiTheme="minorHAnsi" w:hAnsiTheme="minorHAnsi" w:cstheme="minorHAnsi"/>
          <w:bCs/>
          <w:color w:val="000000"/>
        </w:rPr>
        <w:tab/>
      </w:r>
      <w:r w:rsidR="001B4A2E" w:rsidRPr="00E505C7">
        <w:rPr>
          <w:rFonts w:asciiTheme="minorHAnsi" w:hAnsiTheme="minorHAnsi" w:cstheme="minorHAnsi"/>
          <w:bCs/>
          <w:color w:val="000000"/>
        </w:rPr>
        <w:t>ZAVAROVANJE SLOVENIJE</w:t>
      </w:r>
    </w:p>
    <w:sectPr w:rsidR="00B500C0" w:rsidRPr="00A95F75" w:rsidSect="00EB67D2">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71E2" w14:textId="77777777" w:rsidR="00405263" w:rsidRDefault="00405263" w:rsidP="001F51E9">
      <w:pPr>
        <w:spacing w:line="240" w:lineRule="auto"/>
      </w:pPr>
      <w:r>
        <w:separator/>
      </w:r>
    </w:p>
  </w:endnote>
  <w:endnote w:type="continuationSeparator" w:id="0">
    <w:p w14:paraId="324D7504" w14:textId="77777777" w:rsidR="00405263" w:rsidRDefault="00405263" w:rsidP="001F51E9">
      <w:pPr>
        <w:spacing w:line="240" w:lineRule="auto"/>
      </w:pPr>
      <w:r>
        <w:continuationSeparator/>
      </w:r>
    </w:p>
  </w:endnote>
  <w:endnote w:type="continuationNotice" w:id="1">
    <w:p w14:paraId="7C575313" w14:textId="77777777" w:rsidR="008E637D" w:rsidRDefault="008E63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CE SLO">
    <w:altName w:val="Times New Roman"/>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75A0" w14:textId="77777777" w:rsidR="00430CC1" w:rsidRDefault="00430CC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794080"/>
      <w:docPartObj>
        <w:docPartGallery w:val="Page Numbers (Bottom of Page)"/>
        <w:docPartUnique/>
      </w:docPartObj>
    </w:sdtPr>
    <w:sdtEndPr/>
    <w:sdtContent>
      <w:p w14:paraId="2298FE7A" w14:textId="547EEE6C" w:rsidR="001B4A2E" w:rsidRDefault="001B4A2E">
        <w:pPr>
          <w:pStyle w:val="Noga"/>
          <w:jc w:val="center"/>
        </w:pPr>
        <w:r>
          <w:fldChar w:fldCharType="begin"/>
        </w:r>
        <w:r>
          <w:instrText>PAGE   \* MERGEFORMAT</w:instrText>
        </w:r>
        <w:r>
          <w:fldChar w:fldCharType="separate"/>
        </w:r>
        <w:r w:rsidR="006261CF">
          <w:rPr>
            <w:noProof/>
          </w:rPr>
          <w:t>3</w:t>
        </w:r>
        <w:r>
          <w:fldChar w:fldCharType="end"/>
        </w:r>
      </w:p>
    </w:sdtContent>
  </w:sdt>
  <w:p w14:paraId="75A52DB8" w14:textId="5C8AA2B3" w:rsidR="00F94033" w:rsidRDefault="00F94033" w:rsidP="004F30B9">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127A" w14:textId="3021A430" w:rsidR="001B4A2E" w:rsidRPr="004D0A69" w:rsidRDefault="001B4A2E" w:rsidP="001B4A2E">
    <w:pPr>
      <w:pStyle w:val="Noga"/>
      <w:pBdr>
        <w:top w:val="single" w:sz="4" w:space="1" w:color="auto"/>
      </w:pBdr>
      <w:tabs>
        <w:tab w:val="left" w:pos="300"/>
      </w:tabs>
      <w:jc w:val="center"/>
      <w:rPr>
        <w:sz w:val="18"/>
      </w:rPr>
    </w:pPr>
    <w:r>
      <w:rPr>
        <w:sz w:val="18"/>
      </w:rPr>
      <w:t>Kontaktna oseba za odnose z javnostmi: Damjan Kos: tel.: 30 77 374, 051 376 214, e-pošta: damjan.kos</w:t>
    </w:r>
    <w:r>
      <w:rPr>
        <w:rFonts w:ascii="Times" w:hAnsi="Times"/>
        <w:sz w:val="18"/>
      </w:rPr>
      <w:t>@</w:t>
    </w:r>
    <w:r>
      <w:rPr>
        <w:sz w:val="18"/>
      </w:rPr>
      <w:t>zzzs.si</w:t>
    </w:r>
  </w:p>
  <w:p w14:paraId="551D3517" w14:textId="77777777" w:rsidR="001B4A2E" w:rsidRDefault="001B4A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5E58" w14:textId="77777777" w:rsidR="00405263" w:rsidRDefault="00405263" w:rsidP="001F51E9">
      <w:pPr>
        <w:spacing w:line="240" w:lineRule="auto"/>
      </w:pPr>
      <w:r>
        <w:separator/>
      </w:r>
    </w:p>
  </w:footnote>
  <w:footnote w:type="continuationSeparator" w:id="0">
    <w:p w14:paraId="7676FDB7" w14:textId="77777777" w:rsidR="00405263" w:rsidRDefault="00405263" w:rsidP="001F51E9">
      <w:pPr>
        <w:spacing w:line="240" w:lineRule="auto"/>
      </w:pPr>
      <w:r>
        <w:continuationSeparator/>
      </w:r>
    </w:p>
  </w:footnote>
  <w:footnote w:type="continuationNotice" w:id="1">
    <w:p w14:paraId="5D1652DA" w14:textId="77777777" w:rsidR="008E637D" w:rsidRDefault="008E637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CEB1" w14:textId="77777777" w:rsidR="00430CC1" w:rsidRDefault="00430CC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A1F1" w14:textId="77777777" w:rsidR="00430CC1" w:rsidRDefault="00430CC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40"/>
      <w:gridCol w:w="2839"/>
      <w:gridCol w:w="2825"/>
    </w:tblGrid>
    <w:tr w:rsidR="00F94033" w:rsidRPr="007B6600" w14:paraId="75A52DBD" w14:textId="77777777" w:rsidTr="00CE24E4">
      <w:trPr>
        <w:trHeight w:hRule="exact" w:val="907"/>
      </w:trPr>
      <w:tc>
        <w:tcPr>
          <w:tcW w:w="2881" w:type="dxa"/>
          <w:shd w:val="clear" w:color="auto" w:fill="auto"/>
        </w:tcPr>
        <w:p w14:paraId="75A52DB9" w14:textId="77777777" w:rsidR="00F94033" w:rsidRPr="007B6600" w:rsidRDefault="00F94033" w:rsidP="00EA172B">
          <w:pPr>
            <w:pStyle w:val="Glava"/>
          </w:pPr>
          <w:r>
            <w:rPr>
              <w:noProof/>
              <w:lang w:eastAsia="sl-SI"/>
            </w:rPr>
            <w:drawing>
              <wp:inline distT="0" distB="0" distL="0" distR="0" wp14:anchorId="75A52DCE" wp14:editId="75A52DCF">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75A52DBA"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75A52DBB" w14:textId="77777777" w:rsidR="00F94033" w:rsidRPr="007B6600" w:rsidRDefault="00F94033" w:rsidP="007B6600">
          <w:pPr>
            <w:pStyle w:val="Glava"/>
            <w:jc w:val="center"/>
          </w:pPr>
          <w:r>
            <w:rPr>
              <w:noProof/>
              <w:lang w:eastAsia="sl-SI"/>
            </w:rPr>
            <w:drawing>
              <wp:inline distT="0" distB="0" distL="0" distR="0" wp14:anchorId="75A52DD0" wp14:editId="75A52DD1">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75A52DBC" w14:textId="57DF0201" w:rsidR="00F94033" w:rsidRPr="007B6600" w:rsidRDefault="00F94033" w:rsidP="00CC1590">
          <w:pPr>
            <w:pStyle w:val="Glava"/>
            <w:jc w:val="right"/>
          </w:pPr>
        </w:p>
      </w:tc>
    </w:tr>
    <w:tr w:rsidR="00F94033" w:rsidRPr="007B6600" w14:paraId="75A52DC1" w14:textId="77777777" w:rsidTr="00CE24E4">
      <w:trPr>
        <w:trHeight w:hRule="exact" w:val="113"/>
      </w:trPr>
      <w:tc>
        <w:tcPr>
          <w:tcW w:w="2881" w:type="dxa"/>
          <w:shd w:val="clear" w:color="auto" w:fill="auto"/>
        </w:tcPr>
        <w:p w14:paraId="75A52DBE" w14:textId="77777777" w:rsidR="00F94033" w:rsidRPr="00CE24E4" w:rsidRDefault="00F94033" w:rsidP="00EA172B">
          <w:pPr>
            <w:pStyle w:val="Glava"/>
            <w:rPr>
              <w:b/>
              <w:noProof/>
              <w:lang w:eastAsia="sl-SI"/>
            </w:rPr>
          </w:pPr>
        </w:p>
      </w:tc>
      <w:tc>
        <w:tcPr>
          <w:tcW w:w="2881" w:type="dxa"/>
          <w:shd w:val="clear" w:color="auto" w:fill="auto"/>
        </w:tcPr>
        <w:p w14:paraId="75A52DBF" w14:textId="77777777" w:rsidR="00F94033" w:rsidRPr="007B6600" w:rsidRDefault="00F94033" w:rsidP="007B6600">
          <w:pPr>
            <w:pStyle w:val="Glava"/>
            <w:jc w:val="center"/>
            <w:rPr>
              <w:noProof/>
              <w:lang w:eastAsia="sl-SI"/>
            </w:rPr>
          </w:pPr>
        </w:p>
      </w:tc>
      <w:tc>
        <w:tcPr>
          <w:tcW w:w="2882" w:type="dxa"/>
          <w:shd w:val="clear" w:color="auto" w:fill="auto"/>
          <w:tcMar>
            <w:left w:w="0" w:type="dxa"/>
          </w:tcMar>
        </w:tcPr>
        <w:p w14:paraId="75A52DC0" w14:textId="77777777" w:rsidR="00F94033" w:rsidRPr="007B6600" w:rsidRDefault="00F94033" w:rsidP="00EA172B">
          <w:pPr>
            <w:pStyle w:val="Glava"/>
          </w:pPr>
        </w:p>
      </w:tc>
    </w:tr>
    <w:tr w:rsidR="00BF55B1" w:rsidRPr="007B6600" w14:paraId="75A52DCB" w14:textId="77777777" w:rsidTr="00EA172B">
      <w:tc>
        <w:tcPr>
          <w:tcW w:w="5762" w:type="dxa"/>
          <w:gridSpan w:val="2"/>
          <w:shd w:val="clear" w:color="auto" w:fill="auto"/>
        </w:tcPr>
        <w:p w14:paraId="75A52DC2" w14:textId="77777777" w:rsidR="00BF55B1" w:rsidRDefault="00BF55B1" w:rsidP="00F617E6">
          <w:pPr>
            <w:pStyle w:val="Ulica"/>
            <w:rPr>
              <w:b/>
            </w:rPr>
          </w:pPr>
          <w:r w:rsidRPr="00A25A3B">
            <w:rPr>
              <w:b/>
            </w:rPr>
            <w:t>Direkcija</w:t>
          </w:r>
        </w:p>
        <w:p w14:paraId="1632B808" w14:textId="2BFD15C6" w:rsidR="001A2413" w:rsidRDefault="001A2413" w:rsidP="00F617E6">
          <w:pPr>
            <w:pStyle w:val="Ulica"/>
          </w:pPr>
          <w:r>
            <w:t>Sektor za informiranje in odnose z javnostmi</w:t>
          </w:r>
        </w:p>
        <w:p w14:paraId="75A52DC3" w14:textId="684E12C3" w:rsidR="00BF55B1" w:rsidRPr="00BA612C" w:rsidRDefault="00BF55B1" w:rsidP="00F617E6">
          <w:pPr>
            <w:pStyle w:val="Ulica"/>
          </w:pPr>
          <w:r>
            <w:t>Miklošičeva cesta 24</w:t>
          </w:r>
        </w:p>
        <w:p w14:paraId="75A52DC4" w14:textId="77777777" w:rsidR="00BF55B1" w:rsidRDefault="00BF55B1" w:rsidP="00F617E6">
          <w:pPr>
            <w:pStyle w:val="Ulica"/>
          </w:pPr>
          <w:r>
            <w:t>1507 Ljubljana</w:t>
          </w:r>
        </w:p>
        <w:p w14:paraId="75A52DC5" w14:textId="77777777" w:rsidR="00BF55B1" w:rsidRDefault="00BF55B1" w:rsidP="00F617E6">
          <w:pPr>
            <w:pStyle w:val="Ulica"/>
          </w:pPr>
        </w:p>
        <w:p w14:paraId="75A52DC6" w14:textId="77777777" w:rsidR="00BF55B1" w:rsidRPr="00BA612C" w:rsidRDefault="00BF55B1" w:rsidP="00F617E6">
          <w:pPr>
            <w:pStyle w:val="Ulica"/>
            <w:rPr>
              <w:lang w:eastAsia="sl-SI"/>
            </w:rPr>
          </w:pPr>
        </w:p>
      </w:tc>
      <w:tc>
        <w:tcPr>
          <w:tcW w:w="2882" w:type="dxa"/>
          <w:shd w:val="clear" w:color="auto" w:fill="auto"/>
          <w:tcMar>
            <w:left w:w="0" w:type="dxa"/>
          </w:tcMar>
        </w:tcPr>
        <w:p w14:paraId="75A52DC7" w14:textId="324E06B0" w:rsidR="00BF55B1" w:rsidRDefault="00BF55B1" w:rsidP="00F617E6">
          <w:pPr>
            <w:pStyle w:val="Glava"/>
            <w:spacing w:line="240" w:lineRule="exact"/>
            <w:jc w:val="left"/>
            <w:rPr>
              <w:noProof/>
            </w:rPr>
          </w:pPr>
          <w:r w:rsidRPr="00BA612C">
            <w:t xml:space="preserve">Tel.: </w:t>
          </w:r>
          <w:r w:rsidR="001A2413">
            <w:rPr>
              <w:noProof/>
            </w:rPr>
            <w:t>01 30 77 200</w:t>
          </w:r>
        </w:p>
        <w:p w14:paraId="75A52DC8" w14:textId="77777777" w:rsidR="00BF55B1" w:rsidRPr="00BA612C" w:rsidRDefault="00BF55B1" w:rsidP="00F617E6">
          <w:pPr>
            <w:pStyle w:val="Glava"/>
            <w:spacing w:line="240" w:lineRule="exact"/>
            <w:jc w:val="left"/>
            <w:rPr>
              <w:noProof/>
            </w:rPr>
          </w:pPr>
          <w:r>
            <w:rPr>
              <w:noProof/>
            </w:rPr>
            <w:t>Fax: 01 23 12 182</w:t>
          </w:r>
        </w:p>
        <w:p w14:paraId="75A52DC9" w14:textId="77777777" w:rsidR="00BF55B1" w:rsidRPr="00BA612C" w:rsidRDefault="00BF55B1" w:rsidP="00F617E6">
          <w:pPr>
            <w:pStyle w:val="Glava"/>
            <w:spacing w:line="240" w:lineRule="exact"/>
            <w:jc w:val="left"/>
          </w:pPr>
          <w:r w:rsidRPr="00BA612C">
            <w:t xml:space="preserve">E-pošta: </w:t>
          </w:r>
          <w:r>
            <w:rPr>
              <w:noProof/>
            </w:rPr>
            <w:t>di@zzzs.si</w:t>
          </w:r>
        </w:p>
        <w:p w14:paraId="75A52DCA" w14:textId="77777777" w:rsidR="00BF55B1" w:rsidRPr="00BA612C" w:rsidRDefault="00BF55B1" w:rsidP="00F617E6">
          <w:pPr>
            <w:pStyle w:val="Glava"/>
            <w:spacing w:line="240" w:lineRule="exact"/>
            <w:jc w:val="left"/>
          </w:pPr>
          <w:r w:rsidRPr="00BA612C">
            <w:t>www.zzzs.si</w:t>
          </w:r>
        </w:p>
      </w:tc>
    </w:tr>
  </w:tbl>
  <w:p w14:paraId="75A52DCC" w14:textId="77777777" w:rsidR="00F94033" w:rsidRDefault="00F94033"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2D361F"/>
    <w:multiLevelType w:val="hybridMultilevel"/>
    <w:tmpl w:val="EE143028"/>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3" w15:restartNumberingAfterBreak="0">
    <w:nsid w:val="26455F7E"/>
    <w:multiLevelType w:val="hybridMultilevel"/>
    <w:tmpl w:val="77B82E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703E9"/>
    <w:multiLevelType w:val="hybridMultilevel"/>
    <w:tmpl w:val="FC7CC2E2"/>
    <w:lvl w:ilvl="0" w:tplc="04240001">
      <w:start w:val="1"/>
      <w:numFmt w:val="bullet"/>
      <w:lvlText w:val=""/>
      <w:lvlJc w:val="left"/>
      <w:pPr>
        <w:ind w:left="1434" w:hanging="360"/>
      </w:pPr>
      <w:rPr>
        <w:rFonts w:ascii="Symbol" w:hAnsi="Symbol" w:hint="default"/>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5" w15:restartNumberingAfterBreak="0">
    <w:nsid w:val="28132DB9"/>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6" w15:restartNumberingAfterBreak="0">
    <w:nsid w:val="2BB217AB"/>
    <w:multiLevelType w:val="hybridMultilevel"/>
    <w:tmpl w:val="A8B0E7DC"/>
    <w:lvl w:ilvl="0" w:tplc="89089560">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FB5B48"/>
    <w:multiLevelType w:val="hybridMultilevel"/>
    <w:tmpl w:val="2F2AD330"/>
    <w:lvl w:ilvl="0" w:tplc="04240019">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8" w15:restartNumberingAfterBreak="0">
    <w:nsid w:val="33586413"/>
    <w:multiLevelType w:val="hybridMultilevel"/>
    <w:tmpl w:val="7EC6EAFA"/>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9" w15:restartNumberingAfterBreak="0">
    <w:nsid w:val="33B32A2D"/>
    <w:multiLevelType w:val="hybridMultilevel"/>
    <w:tmpl w:val="E32244E0"/>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10" w15:restartNumberingAfterBreak="0">
    <w:nsid w:val="38E73CEE"/>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1" w15:restartNumberingAfterBreak="0">
    <w:nsid w:val="422E2AF2"/>
    <w:multiLevelType w:val="hybridMultilevel"/>
    <w:tmpl w:val="2FFA1118"/>
    <w:lvl w:ilvl="0" w:tplc="0424000F">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19">
      <w:start w:val="1"/>
      <w:numFmt w:val="lowerLetter"/>
      <w:lvlText w:val="%2."/>
      <w:lvlJc w:val="left"/>
      <w:pPr>
        <w:ind w:left="938" w:hanging="360"/>
      </w:pPr>
    </w:lvl>
    <w:lvl w:ilvl="2" w:tplc="0424001B">
      <w:start w:val="1"/>
      <w:numFmt w:val="lowerRoman"/>
      <w:lvlText w:val="%3."/>
      <w:lvlJc w:val="right"/>
      <w:pPr>
        <w:ind w:left="1658" w:hanging="180"/>
      </w:pPr>
    </w:lvl>
    <w:lvl w:ilvl="3" w:tplc="0424000F">
      <w:start w:val="1"/>
      <w:numFmt w:val="decimal"/>
      <w:lvlText w:val="%4."/>
      <w:lvlJc w:val="left"/>
      <w:pPr>
        <w:ind w:left="2378" w:hanging="360"/>
      </w:pPr>
    </w:lvl>
    <w:lvl w:ilvl="4" w:tplc="04240019">
      <w:start w:val="1"/>
      <w:numFmt w:val="lowerLetter"/>
      <w:lvlText w:val="%5."/>
      <w:lvlJc w:val="left"/>
      <w:pPr>
        <w:ind w:left="3098" w:hanging="360"/>
      </w:pPr>
    </w:lvl>
    <w:lvl w:ilvl="5" w:tplc="0424001B">
      <w:start w:val="1"/>
      <w:numFmt w:val="lowerRoman"/>
      <w:lvlText w:val="%6."/>
      <w:lvlJc w:val="right"/>
      <w:pPr>
        <w:ind w:left="3818" w:hanging="180"/>
      </w:pPr>
    </w:lvl>
    <w:lvl w:ilvl="6" w:tplc="0424000F">
      <w:start w:val="1"/>
      <w:numFmt w:val="decimal"/>
      <w:lvlText w:val="%7."/>
      <w:lvlJc w:val="left"/>
      <w:pPr>
        <w:ind w:left="4538" w:hanging="360"/>
      </w:pPr>
    </w:lvl>
    <w:lvl w:ilvl="7" w:tplc="04240019">
      <w:start w:val="1"/>
      <w:numFmt w:val="lowerLetter"/>
      <w:lvlText w:val="%8."/>
      <w:lvlJc w:val="left"/>
      <w:pPr>
        <w:ind w:left="5258" w:hanging="360"/>
      </w:pPr>
    </w:lvl>
    <w:lvl w:ilvl="8" w:tplc="0424001B">
      <w:start w:val="1"/>
      <w:numFmt w:val="lowerRoman"/>
      <w:lvlText w:val="%9."/>
      <w:lvlJc w:val="right"/>
      <w:pPr>
        <w:ind w:left="5978" w:hanging="180"/>
      </w:pPr>
    </w:lvl>
  </w:abstractNum>
  <w:abstractNum w:abstractNumId="12" w15:restartNumberingAfterBreak="0">
    <w:nsid w:val="6B8232CE"/>
    <w:multiLevelType w:val="hybridMultilevel"/>
    <w:tmpl w:val="0DC0FF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6CF412A5"/>
    <w:multiLevelType w:val="hybridMultilevel"/>
    <w:tmpl w:val="48E00B8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4" w15:restartNumberingAfterBreak="0">
    <w:nsid w:val="6E8830B7"/>
    <w:multiLevelType w:val="hybridMultilevel"/>
    <w:tmpl w:val="5EAC7FC0"/>
    <w:lvl w:ilvl="0" w:tplc="CC3C91A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89988441">
    <w:abstractNumId w:val="1"/>
  </w:num>
  <w:num w:numId="2" w16cid:durableId="412363062">
    <w:abstractNumId w:val="0"/>
  </w:num>
  <w:num w:numId="3" w16cid:durableId="468089989">
    <w:abstractNumId w:val="6"/>
  </w:num>
  <w:num w:numId="4" w16cid:durableId="1473137779">
    <w:abstractNumId w:val="3"/>
  </w:num>
  <w:num w:numId="5" w16cid:durableId="1867408047">
    <w:abstractNumId w:val="5"/>
  </w:num>
  <w:num w:numId="6" w16cid:durableId="11763795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0440663">
    <w:abstractNumId w:val="7"/>
    <w:lvlOverride w:ilvl="0">
      <w:startOverride w:val="1"/>
    </w:lvlOverride>
    <w:lvlOverride w:ilvl="1"/>
    <w:lvlOverride w:ilvl="2"/>
    <w:lvlOverride w:ilvl="3"/>
    <w:lvlOverride w:ilvl="4"/>
    <w:lvlOverride w:ilvl="5"/>
    <w:lvlOverride w:ilvl="6"/>
    <w:lvlOverride w:ilvl="7"/>
    <w:lvlOverride w:ilvl="8"/>
  </w:num>
  <w:num w:numId="8" w16cid:durableId="1251429169">
    <w:abstractNumId w:val="4"/>
  </w:num>
  <w:num w:numId="9" w16cid:durableId="2110001722">
    <w:abstractNumId w:val="2"/>
  </w:num>
  <w:num w:numId="10" w16cid:durableId="82268583">
    <w:abstractNumId w:val="13"/>
  </w:num>
  <w:num w:numId="11" w16cid:durableId="763771613">
    <w:abstractNumId w:val="8"/>
  </w:num>
  <w:num w:numId="12" w16cid:durableId="1283918740">
    <w:abstractNumId w:val="9"/>
  </w:num>
  <w:num w:numId="13" w16cid:durableId="347996647">
    <w:abstractNumId w:val="10"/>
  </w:num>
  <w:num w:numId="14" w16cid:durableId="1402829213">
    <w:abstractNumId w:val="12"/>
  </w:num>
  <w:num w:numId="15" w16cid:durableId="15257045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9"/>
    <w:rsid w:val="000137D8"/>
    <w:rsid w:val="000451C8"/>
    <w:rsid w:val="000659AB"/>
    <w:rsid w:val="00072138"/>
    <w:rsid w:val="0008082E"/>
    <w:rsid w:val="000A441F"/>
    <w:rsid w:val="000D60FE"/>
    <w:rsid w:val="000E358F"/>
    <w:rsid w:val="000F0656"/>
    <w:rsid w:val="0014145A"/>
    <w:rsid w:val="0014459F"/>
    <w:rsid w:val="00171896"/>
    <w:rsid w:val="001A2413"/>
    <w:rsid w:val="001B4A2E"/>
    <w:rsid w:val="001C2189"/>
    <w:rsid w:val="001D7724"/>
    <w:rsid w:val="001E28AC"/>
    <w:rsid w:val="001E438A"/>
    <w:rsid w:val="001F51E9"/>
    <w:rsid w:val="00227A5F"/>
    <w:rsid w:val="002647DD"/>
    <w:rsid w:val="0027501D"/>
    <w:rsid w:val="002B1629"/>
    <w:rsid w:val="002C3596"/>
    <w:rsid w:val="002D59C9"/>
    <w:rsid w:val="002E1968"/>
    <w:rsid w:val="002F28F6"/>
    <w:rsid w:val="0038099E"/>
    <w:rsid w:val="00390C85"/>
    <w:rsid w:val="00394D62"/>
    <w:rsid w:val="003A6F9A"/>
    <w:rsid w:val="003B5FFF"/>
    <w:rsid w:val="003D43C4"/>
    <w:rsid w:val="003E3CDC"/>
    <w:rsid w:val="003E48A1"/>
    <w:rsid w:val="003E4CEE"/>
    <w:rsid w:val="00405263"/>
    <w:rsid w:val="004135B1"/>
    <w:rsid w:val="00430CC1"/>
    <w:rsid w:val="0045154F"/>
    <w:rsid w:val="004D0094"/>
    <w:rsid w:val="004F30B9"/>
    <w:rsid w:val="004F3813"/>
    <w:rsid w:val="004F7646"/>
    <w:rsid w:val="00512473"/>
    <w:rsid w:val="005163D7"/>
    <w:rsid w:val="00565045"/>
    <w:rsid w:val="00593F82"/>
    <w:rsid w:val="00594DD2"/>
    <w:rsid w:val="0059766B"/>
    <w:rsid w:val="005C199C"/>
    <w:rsid w:val="005D1EDF"/>
    <w:rsid w:val="005E6A8B"/>
    <w:rsid w:val="00607585"/>
    <w:rsid w:val="00614ACE"/>
    <w:rsid w:val="0062055D"/>
    <w:rsid w:val="0062099F"/>
    <w:rsid w:val="0062282A"/>
    <w:rsid w:val="00624B4B"/>
    <w:rsid w:val="006261CF"/>
    <w:rsid w:val="00635D42"/>
    <w:rsid w:val="00692020"/>
    <w:rsid w:val="00694EC3"/>
    <w:rsid w:val="006B28F6"/>
    <w:rsid w:val="007230BA"/>
    <w:rsid w:val="007311DE"/>
    <w:rsid w:val="00733719"/>
    <w:rsid w:val="007529CA"/>
    <w:rsid w:val="007568F4"/>
    <w:rsid w:val="0078584A"/>
    <w:rsid w:val="007A3BE4"/>
    <w:rsid w:val="007A6AE9"/>
    <w:rsid w:val="007B6600"/>
    <w:rsid w:val="007C4C18"/>
    <w:rsid w:val="007E5D20"/>
    <w:rsid w:val="00842C07"/>
    <w:rsid w:val="00850857"/>
    <w:rsid w:val="00856E9D"/>
    <w:rsid w:val="008E637D"/>
    <w:rsid w:val="008F3F8F"/>
    <w:rsid w:val="008F4AC8"/>
    <w:rsid w:val="00915A1F"/>
    <w:rsid w:val="00921764"/>
    <w:rsid w:val="00945904"/>
    <w:rsid w:val="00947019"/>
    <w:rsid w:val="009636B2"/>
    <w:rsid w:val="00970C05"/>
    <w:rsid w:val="00975D36"/>
    <w:rsid w:val="00990427"/>
    <w:rsid w:val="00992187"/>
    <w:rsid w:val="009C248B"/>
    <w:rsid w:val="009F131F"/>
    <w:rsid w:val="009F5A6E"/>
    <w:rsid w:val="009F7970"/>
    <w:rsid w:val="00A06088"/>
    <w:rsid w:val="00A240A2"/>
    <w:rsid w:val="00A4173B"/>
    <w:rsid w:val="00A84C2D"/>
    <w:rsid w:val="00A95F75"/>
    <w:rsid w:val="00AB7573"/>
    <w:rsid w:val="00AB7F71"/>
    <w:rsid w:val="00AC2D1F"/>
    <w:rsid w:val="00AD6921"/>
    <w:rsid w:val="00AD77F5"/>
    <w:rsid w:val="00AE7CA5"/>
    <w:rsid w:val="00B21A44"/>
    <w:rsid w:val="00B41A74"/>
    <w:rsid w:val="00B47D03"/>
    <w:rsid w:val="00B500C0"/>
    <w:rsid w:val="00B605B3"/>
    <w:rsid w:val="00B7573D"/>
    <w:rsid w:val="00BA0B09"/>
    <w:rsid w:val="00BC16A2"/>
    <w:rsid w:val="00BD0E28"/>
    <w:rsid w:val="00BD4484"/>
    <w:rsid w:val="00BF55B1"/>
    <w:rsid w:val="00C02021"/>
    <w:rsid w:val="00C06442"/>
    <w:rsid w:val="00C46D94"/>
    <w:rsid w:val="00C55A0E"/>
    <w:rsid w:val="00C66F41"/>
    <w:rsid w:val="00C71901"/>
    <w:rsid w:val="00C77A38"/>
    <w:rsid w:val="00CA583C"/>
    <w:rsid w:val="00CB4E33"/>
    <w:rsid w:val="00CC1590"/>
    <w:rsid w:val="00CD4C02"/>
    <w:rsid w:val="00CE24E4"/>
    <w:rsid w:val="00D408F3"/>
    <w:rsid w:val="00DA2337"/>
    <w:rsid w:val="00DA6DFA"/>
    <w:rsid w:val="00DB14AC"/>
    <w:rsid w:val="00DD168B"/>
    <w:rsid w:val="00DE006F"/>
    <w:rsid w:val="00DE4228"/>
    <w:rsid w:val="00DF1130"/>
    <w:rsid w:val="00E17973"/>
    <w:rsid w:val="00E53DBC"/>
    <w:rsid w:val="00E70D90"/>
    <w:rsid w:val="00E84360"/>
    <w:rsid w:val="00E94874"/>
    <w:rsid w:val="00EA172B"/>
    <w:rsid w:val="00EA6A40"/>
    <w:rsid w:val="00EB67D2"/>
    <w:rsid w:val="00EC46ED"/>
    <w:rsid w:val="00ED2B37"/>
    <w:rsid w:val="00EE7738"/>
    <w:rsid w:val="00EF221A"/>
    <w:rsid w:val="00F200CB"/>
    <w:rsid w:val="00F20F75"/>
    <w:rsid w:val="00F6421A"/>
    <w:rsid w:val="00F82E97"/>
    <w:rsid w:val="00F90CB8"/>
    <w:rsid w:val="00F94033"/>
    <w:rsid w:val="00FB3715"/>
    <w:rsid w:val="00FB38EF"/>
    <w:rsid w:val="00FE47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5A52DA7"/>
  <w15:docId w15:val="{7FA729D6-E148-4003-92E1-2DA7889B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paragraph" w:styleId="Naslov1">
    <w:name w:val="heading 1"/>
    <w:basedOn w:val="Navaden"/>
    <w:link w:val="Naslov1Znak"/>
    <w:uiPriority w:val="9"/>
    <w:qFormat/>
    <w:rsid w:val="00E17973"/>
    <w:pPr>
      <w:tabs>
        <w:tab w:val="clear" w:pos="5670"/>
      </w:tabs>
      <w:spacing w:before="100" w:beforeAutospacing="1" w:after="100" w:afterAutospacing="1" w:line="240" w:lineRule="auto"/>
      <w:jc w:val="left"/>
      <w:outlineLvl w:val="0"/>
    </w:pPr>
    <w:rPr>
      <w:rFonts w:ascii="Times New Roman" w:eastAsia="Times New Roman" w:hAnsi="Times New Roman"/>
      <w:b/>
      <w:bCs/>
      <w:color w:val="000000"/>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2">
    <w:name w:val="Body Text 2"/>
    <w:basedOn w:val="Navaden"/>
    <w:link w:val="Telobesedila2Znak"/>
    <w:semiHidden/>
    <w:rsid w:val="001B4A2E"/>
    <w:pPr>
      <w:tabs>
        <w:tab w:val="clear" w:pos="5670"/>
        <w:tab w:val="left" w:pos="0"/>
        <w:tab w:val="left" w:pos="720"/>
        <w:tab w:val="left" w:pos="1440"/>
        <w:tab w:val="left" w:pos="2160"/>
        <w:tab w:val="left" w:pos="2880"/>
        <w:tab w:val="left" w:pos="3600"/>
        <w:tab w:val="left" w:pos="4320"/>
      </w:tabs>
      <w:spacing w:line="240" w:lineRule="atLeast"/>
      <w:jc w:val="center"/>
    </w:pPr>
    <w:rPr>
      <w:rFonts w:ascii="Times New Roman" w:eastAsia="Times New Roman" w:hAnsi="Times New Roman"/>
      <w:b/>
      <w:color w:val="000000"/>
      <w:sz w:val="28"/>
      <w:szCs w:val="20"/>
      <w:lang w:eastAsia="sl-SI"/>
    </w:rPr>
  </w:style>
  <w:style w:type="character" w:customStyle="1" w:styleId="Telobesedila2Znak">
    <w:name w:val="Telo besedila 2 Znak"/>
    <w:basedOn w:val="Privzetapisavaodstavka"/>
    <w:link w:val="Telobesedila2"/>
    <w:semiHidden/>
    <w:rsid w:val="001B4A2E"/>
    <w:rPr>
      <w:rFonts w:ascii="Times New Roman" w:eastAsia="Times New Roman" w:hAnsi="Times New Roman"/>
      <w:b/>
      <w:color w:val="000000"/>
      <w:sz w:val="28"/>
    </w:rPr>
  </w:style>
  <w:style w:type="paragraph" w:styleId="Telobesedila">
    <w:name w:val="Body Text"/>
    <w:basedOn w:val="Navaden"/>
    <w:link w:val="TelobesedilaZnak"/>
    <w:uiPriority w:val="99"/>
    <w:semiHidden/>
    <w:unhideWhenUsed/>
    <w:rsid w:val="001B4A2E"/>
    <w:pPr>
      <w:spacing w:after="120"/>
    </w:pPr>
  </w:style>
  <w:style w:type="character" w:customStyle="1" w:styleId="TelobesedilaZnak">
    <w:name w:val="Telo besedila Znak"/>
    <w:basedOn w:val="Privzetapisavaodstavka"/>
    <w:link w:val="Telobesedila"/>
    <w:uiPriority w:val="99"/>
    <w:semiHidden/>
    <w:rsid w:val="001B4A2E"/>
    <w:rPr>
      <w:sz w:val="22"/>
      <w:szCs w:val="22"/>
      <w:lang w:eastAsia="en-US"/>
    </w:rPr>
  </w:style>
  <w:style w:type="paragraph" w:customStyle="1" w:styleId="Telobesedila1">
    <w:name w:val="Telo besedila1"/>
    <w:rsid w:val="001B4A2E"/>
    <w:pPr>
      <w:spacing w:before="120" w:line="280" w:lineRule="atLeast"/>
      <w:jc w:val="both"/>
    </w:pPr>
    <w:rPr>
      <w:rFonts w:ascii="Arial" w:eastAsia="Times New Roman" w:hAnsi="Arial"/>
      <w:snapToGrid w:val="0"/>
      <w:color w:val="000000"/>
      <w:sz w:val="22"/>
      <w:szCs w:val="22"/>
    </w:rPr>
  </w:style>
  <w:style w:type="paragraph" w:customStyle="1" w:styleId="Telobesedila20">
    <w:name w:val="Telo besedila2"/>
    <w:rsid w:val="001B4A2E"/>
    <w:pPr>
      <w:spacing w:before="120" w:line="280" w:lineRule="atLeast"/>
      <w:jc w:val="both"/>
    </w:pPr>
    <w:rPr>
      <w:rFonts w:ascii="Arial" w:eastAsia="Times New Roman" w:hAnsi="Arial"/>
      <w:snapToGrid w:val="0"/>
      <w:color w:val="000000"/>
      <w:sz w:val="22"/>
      <w:szCs w:val="22"/>
    </w:rPr>
  </w:style>
  <w:style w:type="paragraph" w:styleId="Sprotnaopomba-besedilo">
    <w:name w:val="footnote text"/>
    <w:basedOn w:val="Navaden"/>
    <w:link w:val="Sprotnaopomba-besediloZnak"/>
    <w:semiHidden/>
    <w:rsid w:val="00850857"/>
    <w:pPr>
      <w:tabs>
        <w:tab w:val="clear" w:pos="5670"/>
      </w:tabs>
      <w:spacing w:line="240" w:lineRule="auto"/>
      <w:jc w:val="left"/>
    </w:pPr>
    <w:rPr>
      <w:rFonts w:ascii="Times New Roman CE SLO" w:eastAsia="Times New Roman" w:hAnsi="Times New Roman CE SLO"/>
      <w:sz w:val="20"/>
      <w:szCs w:val="20"/>
      <w:lang w:val="x-none" w:eastAsia="x-none"/>
    </w:rPr>
  </w:style>
  <w:style w:type="character" w:customStyle="1" w:styleId="Sprotnaopomba-besediloZnak">
    <w:name w:val="Sprotna opomba - besedilo Znak"/>
    <w:basedOn w:val="Privzetapisavaodstavka"/>
    <w:link w:val="Sprotnaopomba-besedilo"/>
    <w:semiHidden/>
    <w:rsid w:val="00850857"/>
    <w:rPr>
      <w:rFonts w:ascii="Times New Roman CE SLO" w:eastAsia="Times New Roman" w:hAnsi="Times New Roman CE SLO"/>
      <w:lang w:val="x-none" w:eastAsia="x-none"/>
    </w:rPr>
  </w:style>
  <w:style w:type="character" w:styleId="Sprotnaopomba-sklic">
    <w:name w:val="footnote reference"/>
    <w:semiHidden/>
    <w:rsid w:val="00850857"/>
    <w:rPr>
      <w:vertAlign w:val="superscript"/>
    </w:rPr>
  </w:style>
  <w:style w:type="paragraph" w:customStyle="1" w:styleId="BodyTextIndent22">
    <w:name w:val="Body Text Indent 22"/>
    <w:basedOn w:val="Navaden"/>
    <w:rsid w:val="00850857"/>
    <w:pPr>
      <w:tabs>
        <w:tab w:val="clear" w:pos="5670"/>
      </w:tabs>
      <w:spacing w:line="24" w:lineRule="atLeast"/>
      <w:ind w:firstLine="180"/>
    </w:pPr>
    <w:rPr>
      <w:rFonts w:ascii="Bookman Old Style" w:eastAsia="Times New Roman" w:hAnsi="Bookman Old Style"/>
      <w:szCs w:val="20"/>
      <w:lang w:eastAsia="sl-SI"/>
    </w:rPr>
  </w:style>
  <w:style w:type="paragraph" w:styleId="Odstavekseznama">
    <w:name w:val="List Paragraph"/>
    <w:basedOn w:val="Navaden"/>
    <w:uiPriority w:val="34"/>
    <w:qFormat/>
    <w:rsid w:val="00850857"/>
    <w:pPr>
      <w:tabs>
        <w:tab w:val="clear" w:pos="5670"/>
      </w:tabs>
      <w:spacing w:line="240" w:lineRule="auto"/>
      <w:ind w:left="720"/>
      <w:contextualSpacing/>
      <w:jc w:val="left"/>
    </w:pPr>
    <w:rPr>
      <w:rFonts w:ascii="Times New Roman" w:eastAsia="Times New Roman" w:hAnsi="Times New Roman"/>
      <w:sz w:val="20"/>
      <w:szCs w:val="20"/>
      <w:lang w:eastAsia="sl-SI"/>
    </w:rPr>
  </w:style>
  <w:style w:type="character" w:customStyle="1" w:styleId="Naslov1Znak">
    <w:name w:val="Naslov 1 Znak"/>
    <w:basedOn w:val="Privzetapisavaodstavka"/>
    <w:link w:val="Naslov1"/>
    <w:uiPriority w:val="9"/>
    <w:rsid w:val="00E17973"/>
    <w:rPr>
      <w:rFonts w:ascii="Times New Roman" w:eastAsia="Times New Roman" w:hAnsi="Times New Roman"/>
      <w:b/>
      <w:bCs/>
      <w:color w:val="000000"/>
      <w:kern w:val="36"/>
      <w:sz w:val="48"/>
      <w:szCs w:val="48"/>
    </w:rPr>
  </w:style>
  <w:style w:type="character" w:customStyle="1" w:styleId="BrezrazmikovZnak">
    <w:name w:val="Brez razmikov Znak"/>
    <w:link w:val="Brezrazmikov"/>
    <w:uiPriority w:val="1"/>
    <w:locked/>
    <w:rsid w:val="00E17973"/>
    <w:rPr>
      <w:rFonts w:eastAsia="Times New Roman"/>
    </w:rPr>
  </w:style>
  <w:style w:type="paragraph" w:styleId="Brezrazmikov">
    <w:name w:val="No Spacing"/>
    <w:link w:val="BrezrazmikovZnak"/>
    <w:uiPriority w:val="1"/>
    <w:qFormat/>
    <w:rsid w:val="00E17973"/>
    <w:pPr>
      <w:jc w:val="both"/>
    </w:pPr>
    <w:rPr>
      <w:rFonts w:eastAsia="Times New Roman"/>
    </w:rPr>
  </w:style>
  <w:style w:type="character" w:customStyle="1" w:styleId="OdstavekZnak">
    <w:name w:val="Odstavek Znak"/>
    <w:link w:val="Odstavek"/>
    <w:locked/>
    <w:rsid w:val="00E17973"/>
    <w:rPr>
      <w:rFonts w:ascii="Arial" w:eastAsia="Times New Roman" w:hAnsi="Arial"/>
      <w:lang w:val="x-none" w:eastAsia="x-none"/>
    </w:rPr>
  </w:style>
  <w:style w:type="paragraph" w:customStyle="1" w:styleId="Odstavek">
    <w:name w:val="Odstavek"/>
    <w:basedOn w:val="Navaden"/>
    <w:link w:val="OdstavekZnak"/>
    <w:qFormat/>
    <w:rsid w:val="00E17973"/>
    <w:pPr>
      <w:tabs>
        <w:tab w:val="clear" w:pos="5670"/>
      </w:tabs>
      <w:overflowPunct w:val="0"/>
      <w:autoSpaceDE w:val="0"/>
      <w:autoSpaceDN w:val="0"/>
      <w:adjustRightInd w:val="0"/>
      <w:spacing w:before="240" w:line="240" w:lineRule="auto"/>
      <w:ind w:firstLine="1021"/>
    </w:pPr>
    <w:rPr>
      <w:rFonts w:ascii="Arial" w:eastAsia="Times New Roman" w:hAnsi="Arial"/>
      <w:sz w:val="20"/>
      <w:szCs w:val="20"/>
      <w:lang w:val="x-none" w:eastAsia="x-none"/>
    </w:rPr>
  </w:style>
  <w:style w:type="paragraph" w:customStyle="1" w:styleId="Bodyleftbold">
    <w:name w:val="Body left bold"/>
    <w:basedOn w:val="Telobesedila1"/>
    <w:rsid w:val="00C02021"/>
    <w:pPr>
      <w:spacing w:before="113"/>
    </w:pPr>
    <w:rPr>
      <w:b/>
      <w:color w:val="auto"/>
    </w:rPr>
  </w:style>
  <w:style w:type="paragraph" w:customStyle="1" w:styleId="Subhead1">
    <w:name w:val="Subhead 1"/>
    <w:rsid w:val="00C02021"/>
    <w:pPr>
      <w:keepNext/>
      <w:tabs>
        <w:tab w:val="left" w:pos="850"/>
      </w:tabs>
      <w:spacing w:before="425" w:after="170"/>
      <w:ind w:left="851" w:hanging="851"/>
    </w:pPr>
    <w:rPr>
      <w:rFonts w:ascii="Tahoma" w:eastAsia="Times New Roman" w:hAnsi="Tahoma"/>
      <w:b/>
      <w:snapToGrid w:val="0"/>
      <w:sz w:val="36"/>
      <w:szCs w:val="36"/>
    </w:rPr>
  </w:style>
  <w:style w:type="paragraph" w:customStyle="1" w:styleId="Telobesedila-zamik21">
    <w:name w:val="Telo besedila - zamik 21"/>
    <w:basedOn w:val="Navaden"/>
    <w:rsid w:val="00B605B3"/>
    <w:pPr>
      <w:tabs>
        <w:tab w:val="clear" w:pos="5670"/>
      </w:tabs>
      <w:spacing w:line="240" w:lineRule="auto"/>
      <w:ind w:firstLine="284"/>
    </w:pPr>
    <w:rPr>
      <w:rFonts w:ascii="Bookman Old Style" w:eastAsia="Times New Roman" w:hAnsi="Bookman Old Style"/>
      <w:szCs w:val="20"/>
      <w:lang w:eastAsia="sl-SI"/>
    </w:rPr>
  </w:style>
  <w:style w:type="paragraph" w:customStyle="1" w:styleId="p-marked">
    <w:name w:val="p-marked"/>
    <w:basedOn w:val="Navaden"/>
    <w:rsid w:val="00B605B3"/>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5714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http://dokumenti.zzzs.si/osebno/z010030/Documents/Moji%20dokumenti/ABARB/Poslpor2023/Preliminarno%20poro&#269;ilo%20za%20tisk.%20konf/graf%20prihodki%20in%20odhodki%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dokumenti.zzzs.si/osebno/z010030/Documents/Moji%20dokumenti/ABARB/Poslpor2023/Preliminarno%20poro&#269;ilo%20za%20tisk.%20konf/graf%20prihodki%20in%20odhodki%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415756135114335"/>
          <c:y val="0.19723681989862135"/>
          <c:w val="0.44249303313929672"/>
          <c:h val="0.71500398647508312"/>
        </c:manualLayout>
      </c:layout>
      <c:pieChart>
        <c:varyColors val="1"/>
        <c:ser>
          <c:idx val="0"/>
          <c:order val="0"/>
          <c:dLbls>
            <c:dLbl>
              <c:idx val="0"/>
              <c:layout>
                <c:manualLayout>
                  <c:x val="-0.11664023986710066"/>
                  <c:y val="-0.277841600176918"/>
                </c:manualLayout>
              </c:layout>
              <c:tx>
                <c:rich>
                  <a:bodyPr/>
                  <a:lstStyle/>
                  <a:p>
                    <a:r>
                      <a:rPr lang="en-US" baseline="0">
                        <a:solidFill>
                          <a:schemeClr val="bg1"/>
                        </a:solidFill>
                      </a:rPr>
                      <a:t>Prihodki od prispevkov za OZZ; 89,7%</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697-4109-B3E2-E98B80B308A7}"/>
                </c:ext>
              </c:extLst>
            </c:dLbl>
            <c:dLbl>
              <c:idx val="1"/>
              <c:layout>
                <c:manualLayout>
                  <c:x val="-0.21349201662292214"/>
                  <c:y val="-5.012862007354738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97-4109-B3E2-E98B80B308A7}"/>
                </c:ext>
              </c:extLst>
            </c:dLbl>
            <c:dLbl>
              <c:idx val="2"/>
              <c:layout>
                <c:manualLayout>
                  <c:x val="-5.9256342957130356E-3"/>
                  <c:y val="-0.1151811596684857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97-4109-B3E2-E98B80B308A7}"/>
                </c:ext>
              </c:extLst>
            </c:dLbl>
            <c:dLbl>
              <c:idx val="3"/>
              <c:layout>
                <c:manualLayout>
                  <c:x val="0.14854877515310586"/>
                  <c:y val="-0.1099803637340535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97-4109-B3E2-E98B80B308A7}"/>
                </c:ext>
              </c:extLst>
            </c:dLbl>
            <c:dLbl>
              <c:idx val="4"/>
              <c:layout>
                <c:manualLayout>
                  <c:x val="0.2850067804024497"/>
                  <c:y val="-6.371883416632835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97-4109-B3E2-E98B80B308A7}"/>
                </c:ext>
              </c:extLst>
            </c:dLbl>
            <c:numFmt formatCode="0.0%" sourceLinked="0"/>
            <c:spPr>
              <a:noFill/>
              <a:ln>
                <a:noFill/>
              </a:ln>
              <a:effectLst/>
            </c:spPr>
            <c:txPr>
              <a:bodyPr/>
              <a:lstStyle/>
              <a:p>
                <a:pPr>
                  <a:defRPr sz="800" baseline="0">
                    <a:latin typeface="Calibri" panose="020F0502020204030204" pitchFamily="34" charset="0"/>
                  </a:defRPr>
                </a:pPr>
                <a:endParaRPr lang="sl-SI"/>
              </a:p>
            </c:txPr>
            <c:showLegendKey val="0"/>
            <c:showVal val="1"/>
            <c:showCatName val="1"/>
            <c:showSerName val="0"/>
            <c:showPercent val="0"/>
            <c:showBubbleSize val="0"/>
            <c:showLeaderLines val="1"/>
            <c:extLst>
              <c:ext xmlns:c15="http://schemas.microsoft.com/office/drawing/2012/chart" uri="{CE6537A1-D6FC-4f65-9D91-7224C49458BB}"/>
            </c:extLst>
          </c:dLbls>
          <c:cat>
            <c:strRef>
              <c:f>Prihodki!$B$4:$B$8</c:f>
              <c:strCache>
                <c:ptCount val="5"/>
                <c:pt idx="0">
                  <c:v>Prihodki od prispevkov za OZZ</c:v>
                </c:pt>
                <c:pt idx="1">
                  <c:v>Prihodki po mednarodnih sporazumih</c:v>
                </c:pt>
                <c:pt idx="2">
                  <c:v>Prihodki od regresnih zahtevkov</c:v>
                </c:pt>
                <c:pt idx="3">
                  <c:v>Sredstva iz državnega proračuna</c:v>
                </c:pt>
                <c:pt idx="4">
                  <c:v>Ostali prihodki</c:v>
                </c:pt>
              </c:strCache>
            </c:strRef>
          </c:cat>
          <c:val>
            <c:numRef>
              <c:f>Prihodki!$C$4:$C$8</c:f>
              <c:numCache>
                <c:formatCode>0.00%</c:formatCode>
                <c:ptCount val="5"/>
                <c:pt idx="0">
                  <c:v>0.89692072818721846</c:v>
                </c:pt>
                <c:pt idx="1">
                  <c:v>6.0944618821629042E-3</c:v>
                </c:pt>
                <c:pt idx="2">
                  <c:v>6.4564843402989732E-3</c:v>
                </c:pt>
                <c:pt idx="3">
                  <c:v>6.5845345439106501E-2</c:v>
                </c:pt>
                <c:pt idx="4">
                  <c:v>2.4682980151213202E-2</c:v>
                </c:pt>
              </c:numCache>
            </c:numRef>
          </c:val>
          <c:extLst>
            <c:ext xmlns:c16="http://schemas.microsoft.com/office/drawing/2014/chart" uri="{C3380CC4-5D6E-409C-BE32-E72D297353CC}">
              <c16:uniqueId val="{00000005-D697-4109-B3E2-E98B80B308A7}"/>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820240493194165"/>
          <c:y val="0.1334549990432114"/>
          <c:w val="0.46096298990129481"/>
          <c:h val="0.82468195638461483"/>
        </c:manualLayout>
      </c:layout>
      <c:pieChart>
        <c:varyColors val="1"/>
        <c:ser>
          <c:idx val="0"/>
          <c:order val="0"/>
          <c:dLbls>
            <c:dLbl>
              <c:idx val="0"/>
              <c:tx>
                <c:rich>
                  <a:bodyPr/>
                  <a:lstStyle/>
                  <a:p>
                    <a:pPr>
                      <a:defRPr sz="840" baseline="0">
                        <a:solidFill>
                          <a:schemeClr val="bg1"/>
                        </a:solidFill>
                        <a:latin typeface="Calibri" panose="020F0502020204030204" pitchFamily="34" charset="0"/>
                      </a:defRPr>
                    </a:pPr>
                    <a:fld id="{A1742CBE-F258-4AEF-8848-8EE52B6B7985}" type="CATEGORYNAME">
                      <a:rPr lang="en-US"/>
                      <a:pPr>
                        <a:defRPr sz="840" baseline="0">
                          <a:solidFill>
                            <a:schemeClr val="bg1"/>
                          </a:solidFill>
                          <a:latin typeface="Calibri" panose="020F0502020204030204" pitchFamily="34" charset="0"/>
                        </a:defRPr>
                      </a:pPr>
                      <a:t>[IME KATEGORIJE]</a:t>
                    </a:fld>
                    <a:r>
                      <a:rPr lang="en-US" baseline="0"/>
                      <a:t>
68,3%</a:t>
                    </a:r>
                  </a:p>
                </c:rich>
              </c:tx>
              <c:numFmt formatCode="0.0%" sourceLinked="0"/>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331-4555-8DB6-D1BF0822B641}"/>
                </c:ext>
              </c:extLst>
            </c:dLbl>
            <c:dLbl>
              <c:idx val="1"/>
              <c:layout>
                <c:manualLayout>
                  <c:x val="0.20122016056932907"/>
                  <c:y val="-1.1097999671022133E-2"/>
                </c:manualLayout>
              </c:layout>
              <c:tx>
                <c:rich>
                  <a:bodyPr/>
                  <a:lstStyle/>
                  <a:p>
                    <a:fld id="{8D68456F-C7CD-4F62-8B33-A84305DAF7D3}" type="CATEGORYNAME">
                      <a:rPr lang="en-US">
                        <a:solidFill>
                          <a:schemeClr val="bg1"/>
                        </a:solidFill>
                      </a:rPr>
                      <a:pPr/>
                      <a:t>[IME KATEGORIJE]</a:t>
                    </a:fld>
                    <a:r>
                      <a:rPr lang="en-US" baseline="0">
                        <a:solidFill>
                          <a:schemeClr val="bg1"/>
                        </a:solidFill>
                      </a:rPr>
                      <a:t>
14,7%</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331-4555-8DB6-D1BF0822B641}"/>
                </c:ext>
              </c:extLst>
            </c:dLbl>
            <c:dLbl>
              <c:idx val="2"/>
              <c:layout>
                <c:manualLayout>
                  <c:x val="1.4917979002624672E-3"/>
                  <c:y val="8.2000532680755453E-2"/>
                </c:manualLayout>
              </c:layout>
              <c:tx>
                <c:rich>
                  <a:bodyPr/>
                  <a:lstStyle/>
                  <a:p>
                    <a:fld id="{DC45ABA4-BCC0-482D-BCD2-D28B2191EDC2}" type="CATEGORYNAME">
                      <a:rPr lang="en-US"/>
                      <a:pPr/>
                      <a:t>[IME KATEGORIJE]</a:t>
                    </a:fld>
                    <a:r>
                      <a:rPr lang="en-US" baseline="0"/>
                      <a:t>
1,8%</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331-4555-8DB6-D1BF0822B641}"/>
                </c:ext>
              </c:extLst>
            </c:dLbl>
            <c:dLbl>
              <c:idx val="3"/>
              <c:tx>
                <c:rich>
                  <a:bodyPr/>
                  <a:lstStyle/>
                  <a:p>
                    <a:pPr>
                      <a:defRPr sz="840" baseline="0">
                        <a:solidFill>
                          <a:schemeClr val="bg1"/>
                        </a:solidFill>
                        <a:latin typeface="Calibri" panose="020F0502020204030204" pitchFamily="34" charset="0"/>
                      </a:defRPr>
                    </a:pPr>
                    <a:fld id="{7E83BCBE-A0A2-41F9-A660-6F17254C2211}" type="CATEGORYNAME">
                      <a:rPr lang="en-US"/>
                      <a:pPr>
                        <a:defRPr sz="840" baseline="0">
                          <a:solidFill>
                            <a:schemeClr val="bg1"/>
                          </a:solidFill>
                          <a:latin typeface="Calibri" panose="020F0502020204030204" pitchFamily="34" charset="0"/>
                        </a:defRPr>
                      </a:pPr>
                      <a:t>[IME KATEGORIJE]</a:t>
                    </a:fld>
                    <a:r>
                      <a:rPr lang="en-US" baseline="0"/>
                      <a:t>
13,9%</a:t>
                    </a:r>
                  </a:p>
                </c:rich>
              </c:tx>
              <c:numFmt formatCode="0.0%" sourceLinked="0"/>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331-4555-8DB6-D1BF0822B641}"/>
                </c:ext>
              </c:extLst>
            </c:dLbl>
            <c:dLbl>
              <c:idx val="4"/>
              <c:layout>
                <c:manualLayout>
                  <c:x val="3.1045359090546454E-2"/>
                  <c:y val="-1.6298521513892571E-2"/>
                </c:manualLayout>
              </c:layout>
              <c:tx>
                <c:rich>
                  <a:bodyPr/>
                  <a:lstStyle/>
                  <a:p>
                    <a:fld id="{74BB4912-772F-409E-8C8D-314AD1CD1BFC}" type="CATEGORYNAME">
                      <a:rPr lang="en-US"/>
                      <a:pPr/>
                      <a:t>[IME KATEGORIJE]</a:t>
                    </a:fld>
                    <a:r>
                      <a:rPr lang="en-US" baseline="0"/>
                      <a:t>
1,3%</a:t>
                    </a:r>
                  </a:p>
                </c:rich>
              </c:tx>
              <c:showLegendKey val="0"/>
              <c:showVal val="0"/>
              <c:showCatName val="1"/>
              <c:showSerName val="0"/>
              <c:showPercent val="1"/>
              <c:showBubbleSize val="0"/>
              <c:extLst>
                <c:ext xmlns:c15="http://schemas.microsoft.com/office/drawing/2012/chart" uri="{CE6537A1-D6FC-4f65-9D91-7224C49458BB}">
                  <c15:layout>
                    <c:manualLayout>
                      <c:w val="0.25861740234557234"/>
                      <c:h val="0.13577752305468035"/>
                    </c:manualLayout>
                  </c15:layout>
                  <c15:dlblFieldTable/>
                  <c15:showDataLabelsRange val="0"/>
                </c:ext>
                <c:ext xmlns:c16="http://schemas.microsoft.com/office/drawing/2014/chart" uri="{C3380CC4-5D6E-409C-BE32-E72D297353CC}">
                  <c16:uniqueId val="{00000004-2331-4555-8DB6-D1BF0822B641}"/>
                </c:ext>
              </c:extLst>
            </c:dLbl>
            <c:dLbl>
              <c:idx val="5"/>
              <c:layout>
                <c:manualLayout>
                  <c:x val="0.10863003062117235"/>
                  <c:y val="-2.392712294377317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331-4555-8DB6-D1BF0822B641}"/>
                </c:ext>
              </c:extLst>
            </c:dLbl>
            <c:numFmt formatCode="0.0%" sourceLinked="0"/>
            <c:spPr>
              <a:noFill/>
              <a:ln>
                <a:noFill/>
              </a:ln>
              <a:effectLst/>
            </c:spPr>
            <c:txPr>
              <a:bodyPr/>
              <a:lstStyle/>
              <a:p>
                <a:pPr>
                  <a:defRPr sz="840" baseline="0">
                    <a:latin typeface="Calibri" panose="020F0502020204030204" pitchFamily="34" charset="0"/>
                  </a:defRPr>
                </a:pPr>
                <a:endParaRPr lang="sl-SI"/>
              </a:p>
            </c:txPr>
            <c:showLegendKey val="0"/>
            <c:showVal val="0"/>
            <c:showCatName val="1"/>
            <c:showSerName val="0"/>
            <c:showPercent val="1"/>
            <c:showBubbleSize val="0"/>
            <c:showLeaderLines val="1"/>
            <c:extLst>
              <c:ext xmlns:c15="http://schemas.microsoft.com/office/drawing/2012/chart" uri="{CE6537A1-D6FC-4f65-9D91-7224C49458BB}"/>
            </c:extLst>
          </c:dLbls>
          <c:cat>
            <c:strRef>
              <c:f>Odhodki!$B$3:$B$7</c:f>
              <c:strCache>
                <c:ptCount val="5"/>
                <c:pt idx="0">
                  <c:v>Zdravstvne storitve</c:v>
                </c:pt>
                <c:pt idx="1">
                  <c:v>Zdravila, medicinski pripomočki, cepiva</c:v>
                </c:pt>
                <c:pt idx="2">
                  <c:v>Zdravljenje v tujini in mednarodni sporazumi</c:v>
                </c:pt>
                <c:pt idx="3">
                  <c:v>Denarne dajatve</c:v>
                </c:pt>
                <c:pt idx="4">
                  <c:v>Odhodki za delo ZZZS</c:v>
                </c:pt>
              </c:strCache>
            </c:strRef>
          </c:cat>
          <c:val>
            <c:numRef>
              <c:f>Odhodki!$C$3:$C$7</c:f>
              <c:numCache>
                <c:formatCode>0.0%</c:formatCode>
                <c:ptCount val="5"/>
                <c:pt idx="0">
                  <c:v>0.68276036415117836</c:v>
                </c:pt>
                <c:pt idx="1">
                  <c:v>0.14748032317860613</c:v>
                </c:pt>
                <c:pt idx="2">
                  <c:v>1.8413023406916869E-2</c:v>
                </c:pt>
                <c:pt idx="3">
                  <c:v>0.13862652726297472</c:v>
                </c:pt>
                <c:pt idx="4">
                  <c:v>1.2635012221048236E-2</c:v>
                </c:pt>
              </c:numCache>
            </c:numRef>
          </c:val>
          <c:extLst>
            <c:ext xmlns:c16="http://schemas.microsoft.com/office/drawing/2014/chart" uri="{C3380CC4-5D6E-409C-BE32-E72D297353CC}">
              <c16:uniqueId val="{00000006-2331-4555-8DB6-D1BF0822B641}"/>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F9E1-326B-4E65-9449-C262EA8B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1919</Words>
  <Characters>10942</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12836</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Perhavec</dc:creator>
  <cp:lastModifiedBy>Damjan Kos</cp:lastModifiedBy>
  <cp:revision>3</cp:revision>
  <cp:lastPrinted>2024-01-22T14:10:00Z</cp:lastPrinted>
  <dcterms:created xsi:type="dcterms:W3CDTF">2024-01-22T14:10:00Z</dcterms:created>
  <dcterms:modified xsi:type="dcterms:W3CDTF">2024-01-29T06:54:00Z</dcterms:modified>
</cp:coreProperties>
</file>