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8070" w14:textId="77777777" w:rsidR="00446508" w:rsidRPr="005A4D1E" w:rsidRDefault="00446508" w:rsidP="00446508">
      <w:pPr>
        <w:rPr>
          <w:rFonts w:asciiTheme="minorHAnsi" w:hAnsiTheme="minorHAnsi"/>
          <w:b/>
        </w:rPr>
      </w:pPr>
      <w:r w:rsidRPr="005A4D1E">
        <w:rPr>
          <w:rFonts w:asciiTheme="minorHAnsi" w:hAnsiTheme="minorHAnsi"/>
          <w:b/>
        </w:rPr>
        <w:t>I. PREDLOG ČLENOV</w:t>
      </w:r>
    </w:p>
    <w:p w14:paraId="185780BD" w14:textId="137705FB" w:rsidR="004421CB" w:rsidRPr="004E2005" w:rsidRDefault="004421CB" w:rsidP="00446508">
      <w:pPr>
        <w:pStyle w:val="Sprotnaopomba-besedilo"/>
        <w:spacing w:before="60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 xml:space="preserve">Na podlagi drugega odstavka 64. člena Pravil obveznega zdravstvenega zavarovanja </w:t>
      </w:r>
      <w:r w:rsidRPr="004E2005">
        <w:rPr>
          <w:rFonts w:ascii="Calibri" w:hAnsi="Calibri" w:cs="Calibri"/>
          <w:sz w:val="22"/>
          <w:szCs w:val="22"/>
        </w:rPr>
        <w:t>(Uradni list RS, št. 30/03 – prečiščeno besedilo, 35/03 – popr., 78/03, 84/04, 44/05, 86/06, 90/06 – popr., 64/07, 33/08, 7/09, 88/09, 30/11, 49/12, 106/12, 99/13 – ZSVarPre-C, 25/14, 85/14, 10/17 – ZČmIS, 64/18, 4/20, 42/21 – odl. US, 61/21, </w:t>
      </w:r>
      <w:hyperlink r:id="rId7" w:tgtFrame="_blank" w:tooltip="Zakon o dopolnitvah Zakona o zdravstvenem varstvu in zdravstvenem zavarovanju" w:history="1">
        <w:r w:rsidRPr="004E2005">
          <w:rPr>
            <w:rFonts w:ascii="Calibri" w:hAnsi="Calibri" w:cs="Calibri"/>
            <w:sz w:val="22"/>
            <w:szCs w:val="22"/>
          </w:rPr>
          <w:t>159/21</w:t>
        </w:r>
      </w:hyperlink>
      <w:r w:rsidRPr="004E2005">
        <w:rPr>
          <w:rFonts w:ascii="Calibri" w:hAnsi="Calibri" w:cs="Calibri"/>
          <w:sz w:val="22"/>
          <w:szCs w:val="22"/>
        </w:rPr>
        <w:t> – ZZVZZ-P, </w:t>
      </w:r>
      <w:hyperlink r:id="rId8" w:tgtFrame="_blank" w:tooltip="Spremembe in dopolnitve Pravil obveznega zdravstvenega zavarovanja" w:history="1">
        <w:r w:rsidRPr="004E2005">
          <w:rPr>
            <w:rFonts w:ascii="Calibri" w:hAnsi="Calibri" w:cs="Calibri"/>
            <w:sz w:val="22"/>
            <w:szCs w:val="22"/>
          </w:rPr>
          <w:t>183/21</w:t>
        </w:r>
      </w:hyperlink>
      <w:r w:rsidRPr="004E2005">
        <w:rPr>
          <w:rFonts w:ascii="Calibri" w:hAnsi="Calibri" w:cs="Calibri"/>
          <w:sz w:val="22"/>
          <w:szCs w:val="22"/>
        </w:rPr>
        <w:t>, </w:t>
      </w:r>
      <w:hyperlink r:id="rId9" w:tgtFrame="_blank" w:tooltip="Zakon o dolgotrajni oskrbi" w:history="1">
        <w:r w:rsidRPr="004E2005">
          <w:rPr>
            <w:rFonts w:ascii="Calibri" w:hAnsi="Calibri" w:cs="Calibri"/>
            <w:sz w:val="22"/>
            <w:szCs w:val="22"/>
          </w:rPr>
          <w:t>196/21</w:t>
        </w:r>
      </w:hyperlink>
      <w:r w:rsidRPr="004E2005">
        <w:rPr>
          <w:rFonts w:ascii="Calibri" w:hAnsi="Calibri" w:cs="Calibri"/>
          <w:sz w:val="22"/>
          <w:szCs w:val="22"/>
        </w:rPr>
        <w:t> – ZDOsk, </w:t>
      </w:r>
      <w:hyperlink r:id="rId10" w:tgtFrame="_blank" w:tooltip="Odločba o razveljavitvi 50., 51. in 52. člena Pravil obveznega zdravstvenega zavarovanja" w:history="1">
        <w:r w:rsidRPr="004E2005">
          <w:rPr>
            <w:rFonts w:ascii="Calibri" w:hAnsi="Calibri" w:cs="Calibri"/>
            <w:sz w:val="22"/>
            <w:szCs w:val="22"/>
          </w:rPr>
          <w:t>142/22</w:t>
        </w:r>
      </w:hyperlink>
      <w:r w:rsidRPr="004E2005">
        <w:rPr>
          <w:rFonts w:ascii="Calibri" w:hAnsi="Calibri" w:cs="Calibri"/>
          <w:sz w:val="22"/>
          <w:szCs w:val="22"/>
        </w:rPr>
        <w:t> – odl. US, </w:t>
      </w:r>
      <w:hyperlink r:id="rId11" w:tgtFrame="_blank" w:tooltip="Spremembe in dopolnitve Pravil obveznega zdravstvenega zavarovanja" w:history="1">
        <w:r w:rsidRPr="004E2005">
          <w:rPr>
            <w:rFonts w:ascii="Calibri" w:hAnsi="Calibri" w:cs="Calibri"/>
            <w:sz w:val="22"/>
            <w:szCs w:val="22"/>
          </w:rPr>
          <w:t>163/22</w:t>
        </w:r>
      </w:hyperlink>
      <w:r w:rsidRPr="004E2005">
        <w:rPr>
          <w:rFonts w:ascii="Calibri" w:hAnsi="Calibri" w:cs="Calibri"/>
          <w:sz w:val="22"/>
          <w:szCs w:val="22"/>
        </w:rPr>
        <w:t xml:space="preserve"> in </w:t>
      </w:r>
      <w:proofErr w:type="gramStart"/>
      <w:r w:rsidRPr="004E2005">
        <w:rPr>
          <w:rFonts w:ascii="Calibri" w:hAnsi="Calibri" w:cs="Calibri"/>
          <w:sz w:val="22"/>
          <w:szCs w:val="22"/>
        </w:rPr>
        <w:t>xx</w:t>
      </w:r>
      <w:proofErr w:type="gramEnd"/>
      <w:r w:rsidRPr="004E2005">
        <w:rPr>
          <w:rFonts w:ascii="Calibri" w:hAnsi="Calibri" w:cs="Calibri"/>
          <w:sz w:val="22"/>
          <w:szCs w:val="22"/>
        </w:rPr>
        <w:t>/23) in 3. t</w:t>
      </w:r>
      <w:r w:rsidRPr="004E2005">
        <w:rPr>
          <w:rFonts w:ascii="Calibri" w:hAnsi="Calibri" w:cs="Calibri"/>
          <w:sz w:val="22"/>
          <w:szCs w:val="22"/>
          <w:shd w:val="clear" w:color="auto" w:fill="FFFFFF"/>
        </w:rPr>
        <w:t xml:space="preserve">očke 13. člena Statuta Zavoda za zdravstveno zavarovanje Slovenije (Uradni list RS, št. 87/01 in 1/02 – popr.) je </w:t>
      </w:r>
      <w:r w:rsidR="00E7123D">
        <w:rPr>
          <w:rFonts w:ascii="Calibri" w:hAnsi="Calibri" w:cs="Calibri"/>
          <w:sz w:val="22"/>
          <w:szCs w:val="22"/>
          <w:shd w:val="clear" w:color="auto" w:fill="FFFFFF"/>
        </w:rPr>
        <w:t>s</w:t>
      </w:r>
      <w:r w:rsidRPr="004E2005">
        <w:rPr>
          <w:rFonts w:ascii="Calibri" w:hAnsi="Calibri" w:cs="Calibri"/>
          <w:sz w:val="22"/>
          <w:szCs w:val="22"/>
          <w:shd w:val="clear" w:color="auto" w:fill="FFFFFF"/>
        </w:rPr>
        <w:t xml:space="preserve">kupščina Zavoda za zdravstveno zavarovanje Slovenije na </w:t>
      </w:r>
      <w:r w:rsidR="00F345E0" w:rsidRPr="00F345E0">
        <w:rPr>
          <w:rFonts w:ascii="Calibri" w:hAnsi="Calibri" w:cs="Calibri"/>
          <w:sz w:val="22"/>
          <w:szCs w:val="22"/>
          <w:shd w:val="clear" w:color="auto" w:fill="FFFFFF"/>
        </w:rPr>
        <w:t>11</w:t>
      </w:r>
      <w:r w:rsidRPr="00F345E0">
        <w:rPr>
          <w:rFonts w:ascii="Calibri" w:hAnsi="Calibri" w:cs="Calibri"/>
          <w:sz w:val="22"/>
          <w:szCs w:val="22"/>
          <w:shd w:val="clear" w:color="auto" w:fill="FFFFFF"/>
        </w:rPr>
        <w:t>. redni</w:t>
      </w:r>
      <w:r w:rsidRPr="004E2005">
        <w:rPr>
          <w:rFonts w:ascii="Calibri" w:hAnsi="Calibri" w:cs="Calibri"/>
          <w:sz w:val="22"/>
          <w:szCs w:val="22"/>
          <w:shd w:val="clear" w:color="auto" w:fill="FFFFFF"/>
        </w:rPr>
        <w:t xml:space="preserve"> seji </w:t>
      </w:r>
      <w:r w:rsidR="00F345E0">
        <w:rPr>
          <w:rFonts w:ascii="Calibri" w:hAnsi="Calibri" w:cs="Calibri"/>
          <w:sz w:val="22"/>
          <w:szCs w:val="22"/>
          <w:shd w:val="clear" w:color="auto" w:fill="FFFFFF"/>
        </w:rPr>
        <w:t>21. 11. 2023</w:t>
      </w:r>
      <w:r w:rsidRPr="004E2005">
        <w:rPr>
          <w:rFonts w:ascii="Calibri" w:hAnsi="Calibri" w:cs="Calibri"/>
          <w:sz w:val="22"/>
          <w:szCs w:val="22"/>
          <w:shd w:val="clear" w:color="auto" w:fill="FFFFFF"/>
        </w:rPr>
        <w:t xml:space="preserve"> sprejela</w:t>
      </w:r>
    </w:p>
    <w:p w14:paraId="6FF27F77" w14:textId="77777777" w:rsidR="004421CB" w:rsidRPr="004E2005" w:rsidRDefault="004421CB" w:rsidP="004421CB">
      <w:pPr>
        <w:pStyle w:val="len"/>
        <w:shd w:val="clear" w:color="auto" w:fill="FFFFFF"/>
        <w:spacing w:before="480" w:beforeAutospacing="0" w:after="0" w:afterAutospacing="0"/>
        <w:jc w:val="center"/>
        <w:rPr>
          <w:rFonts w:ascii="Calibri" w:hAnsi="Calibri" w:cs="Calibri"/>
          <w:b/>
          <w:bCs/>
          <w:sz w:val="22"/>
          <w:szCs w:val="22"/>
        </w:rPr>
      </w:pPr>
      <w:bookmarkStart w:id="0" w:name="_Hlk57104663"/>
      <w:r w:rsidRPr="004E2005">
        <w:rPr>
          <w:rFonts w:ascii="Calibri" w:hAnsi="Calibri" w:cs="Calibri"/>
          <w:b/>
          <w:bCs/>
          <w:sz w:val="22"/>
          <w:szCs w:val="22"/>
        </w:rPr>
        <w:t>SKLEP</w:t>
      </w:r>
    </w:p>
    <w:p w14:paraId="4510E9E6" w14:textId="77777777" w:rsidR="004421CB" w:rsidRPr="004E2005" w:rsidRDefault="004421CB" w:rsidP="004421CB">
      <w:pPr>
        <w:pStyle w:val="len"/>
        <w:shd w:val="clear" w:color="auto" w:fill="FFFFFF"/>
        <w:spacing w:before="0" w:beforeAutospacing="0" w:after="0" w:afterAutospacing="0"/>
        <w:jc w:val="center"/>
        <w:rPr>
          <w:rFonts w:ascii="Calibri" w:hAnsi="Calibri" w:cs="Calibri"/>
          <w:b/>
          <w:bCs/>
          <w:sz w:val="22"/>
          <w:szCs w:val="22"/>
          <w:shd w:val="clear" w:color="auto" w:fill="FFFFFF"/>
        </w:rPr>
      </w:pPr>
      <w:r w:rsidRPr="004E2005">
        <w:rPr>
          <w:rFonts w:ascii="Calibri" w:hAnsi="Calibri" w:cs="Calibri"/>
          <w:b/>
          <w:bCs/>
          <w:sz w:val="22"/>
          <w:szCs w:val="22"/>
        </w:rPr>
        <w:t xml:space="preserve">o spremembah in dopolnitvah </w:t>
      </w:r>
      <w:r w:rsidRPr="004E2005">
        <w:rPr>
          <w:rFonts w:ascii="Calibri" w:hAnsi="Calibri" w:cs="Calibri"/>
          <w:b/>
          <w:bCs/>
          <w:sz w:val="22"/>
          <w:szCs w:val="22"/>
          <w:shd w:val="clear" w:color="auto" w:fill="FFFFFF"/>
        </w:rPr>
        <w:t>Sklepa o zdravstvenih stanjih in drugih pogojih za upravičenost do medicinskih pripomočkov iz obveznega zdravstvenega zavarovanja</w:t>
      </w:r>
    </w:p>
    <w:bookmarkEnd w:id="0"/>
    <w:p w14:paraId="34E9E529"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0C09301D" w14:textId="2050ED44"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rPr>
      </w:pPr>
      <w:r w:rsidRPr="004E2005">
        <w:rPr>
          <w:rFonts w:ascii="Calibri" w:hAnsi="Calibri" w:cs="Calibri"/>
          <w:sz w:val="22"/>
          <w:szCs w:val="22"/>
          <w:shd w:val="clear" w:color="auto" w:fill="FFFFFF"/>
        </w:rPr>
        <w:t xml:space="preserve">V Sklepu o zdravstvenih stanjih in drugih pogojih za upravičenost do medicinskih pripomočkov iz obveznega zdravstvenega </w:t>
      </w:r>
      <w:r w:rsidRPr="004E2005">
        <w:rPr>
          <w:rFonts w:ascii="Calibri" w:hAnsi="Calibri" w:cs="Calibri"/>
          <w:sz w:val="22"/>
          <w:szCs w:val="22"/>
        </w:rPr>
        <w:t>zavarovanja</w:t>
      </w:r>
      <w:r w:rsidRPr="004E2005">
        <w:rPr>
          <w:rFonts w:ascii="Calibri" w:hAnsi="Calibri" w:cs="Calibri"/>
          <w:sz w:val="22"/>
          <w:szCs w:val="22"/>
          <w:shd w:val="clear" w:color="auto" w:fill="FFFFFF"/>
        </w:rPr>
        <w:t xml:space="preserve"> (Uradni list RS, št</w:t>
      </w:r>
      <w:r w:rsidRPr="004E2005">
        <w:rPr>
          <w:rFonts w:ascii="Calibri" w:hAnsi="Calibri" w:cs="Calibri"/>
          <w:sz w:val="22"/>
          <w:szCs w:val="22"/>
        </w:rPr>
        <w:t>. </w:t>
      </w:r>
      <w:hyperlink r:id="rId12" w:tooltip="Spremembe in dopolnitve pravil obveznega zdravstvenega zavarovanja (Uradni list RS, št. 61-1241/2021)" w:history="1">
        <w:r w:rsidRPr="004E2005">
          <w:rPr>
            <w:rFonts w:ascii="Calibri" w:hAnsi="Calibri" w:cs="Calibri"/>
            <w:sz w:val="22"/>
            <w:szCs w:val="22"/>
          </w:rPr>
          <w:t>61/21</w:t>
        </w:r>
      </w:hyperlink>
      <w:r w:rsidRPr="004E2005">
        <w:rPr>
          <w:rFonts w:ascii="Calibri" w:hAnsi="Calibri" w:cs="Calibri"/>
          <w:sz w:val="22"/>
          <w:szCs w:val="22"/>
          <w:shd w:val="clear" w:color="auto" w:fill="FFFFFF"/>
        </w:rPr>
        <w:t>, 183/21 in 163/22) se Priloga</w:t>
      </w:r>
      <w:r w:rsidR="006E685D">
        <w:rPr>
          <w:rFonts w:ascii="Calibri" w:hAnsi="Calibri" w:cs="Calibri"/>
          <w:sz w:val="22"/>
          <w:szCs w:val="22"/>
          <w:shd w:val="clear" w:color="auto" w:fill="FFFFFF"/>
        </w:rPr>
        <w:t> </w:t>
      </w:r>
      <w:r w:rsidRPr="004E2005">
        <w:rPr>
          <w:rFonts w:ascii="Calibri" w:hAnsi="Calibri" w:cs="Calibri"/>
          <w:sz w:val="22"/>
          <w:szCs w:val="22"/>
          <w:shd w:val="clear" w:color="auto" w:fill="FFFFFF"/>
        </w:rPr>
        <w:t>1</w:t>
      </w:r>
      <w:r w:rsidRPr="004E2005">
        <w:rPr>
          <w:rFonts w:ascii="Calibri" w:hAnsi="Calibri" w:cs="Calibri"/>
          <w:sz w:val="22"/>
          <w:szCs w:val="22"/>
        </w:rPr>
        <w:t xml:space="preserve"> nadomesti z novo Prilogo 1, ki je kot Priloga 1 sestavni del tega sklepa.</w:t>
      </w:r>
    </w:p>
    <w:p w14:paraId="57877052"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01ECE4F1"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rPr>
      </w:pPr>
      <w:r w:rsidRPr="004E2005">
        <w:rPr>
          <w:rFonts w:ascii="Calibri" w:hAnsi="Calibri" w:cs="Calibri"/>
          <w:sz w:val="22"/>
          <w:szCs w:val="22"/>
        </w:rPr>
        <w:t xml:space="preserve">Priloga 5 se nadomesti z novo Prilogo 5, ki je kot Priloga 2 sestavni </w:t>
      </w:r>
      <w:proofErr w:type="gramStart"/>
      <w:r w:rsidRPr="004E2005">
        <w:rPr>
          <w:rFonts w:ascii="Calibri" w:hAnsi="Calibri" w:cs="Calibri"/>
          <w:sz w:val="22"/>
          <w:szCs w:val="22"/>
        </w:rPr>
        <w:t>del</w:t>
      </w:r>
      <w:proofErr w:type="gramEnd"/>
      <w:r w:rsidRPr="004E2005">
        <w:rPr>
          <w:rFonts w:ascii="Calibri" w:hAnsi="Calibri" w:cs="Calibri"/>
          <w:sz w:val="22"/>
          <w:szCs w:val="22"/>
        </w:rPr>
        <w:t xml:space="preserve"> tega sklepa.</w:t>
      </w:r>
    </w:p>
    <w:p w14:paraId="78179B48"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3CAD2008"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rPr>
        <w:t xml:space="preserve">Priloga 6 </w:t>
      </w:r>
      <w:r w:rsidRPr="004E2005">
        <w:rPr>
          <w:rFonts w:ascii="Calibri" w:hAnsi="Calibri" w:cs="Calibri"/>
          <w:sz w:val="22"/>
          <w:szCs w:val="22"/>
          <w:shd w:val="clear" w:color="auto" w:fill="FFFFFF"/>
        </w:rPr>
        <w:t xml:space="preserve">se nadomesti z novo </w:t>
      </w:r>
      <w:r w:rsidRPr="004E2005">
        <w:rPr>
          <w:rFonts w:ascii="Calibri" w:hAnsi="Calibri" w:cs="Calibri"/>
          <w:sz w:val="22"/>
          <w:szCs w:val="22"/>
        </w:rPr>
        <w:t>Prilogo 6</w:t>
      </w:r>
      <w:r w:rsidRPr="004E2005">
        <w:rPr>
          <w:rFonts w:ascii="Calibri" w:hAnsi="Calibri" w:cs="Calibri"/>
          <w:sz w:val="22"/>
          <w:szCs w:val="22"/>
          <w:shd w:val="clear" w:color="auto" w:fill="FFFFFF"/>
        </w:rPr>
        <w:t>, ki je kot Priloga 3 sestavni del tega sklepa.</w:t>
      </w:r>
    </w:p>
    <w:p w14:paraId="58B29BA9"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570A8A8B"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10 se nadomesti z novo Prilogo 10, ki je kot Priloga 4 sestavni del tega sklepa.</w:t>
      </w:r>
    </w:p>
    <w:p w14:paraId="4A71E2C4"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0E15651A"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11 se nadomesti z novo Prilogo 11, ki je kot Priloga 5 sestavni del tega sklepa.</w:t>
      </w:r>
    </w:p>
    <w:p w14:paraId="65D45F80"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1F608F2A"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12 se nadomesti z novo Prilogo 12, ki je kot Priloga 6 sestavni del tega sklepa.</w:t>
      </w:r>
    </w:p>
    <w:p w14:paraId="5660F3AE"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6071479B"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16 se nadomesti z novo Prilogo 16, ki je kot Priloga 7 sestavni del tega sklepa.</w:t>
      </w:r>
    </w:p>
    <w:p w14:paraId="74D4E6A3"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lastRenderedPageBreak/>
        <w:t>člen</w:t>
      </w:r>
    </w:p>
    <w:p w14:paraId="26A0F98C"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18 se nadomesti z novo Prilogo 18, ki je kot Priloga 8 sestavni del tega sklepa.</w:t>
      </w:r>
    </w:p>
    <w:p w14:paraId="08922CEE"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6AD25B5C" w14:textId="77777777"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sidRPr="004E2005">
        <w:rPr>
          <w:rFonts w:ascii="Calibri" w:hAnsi="Calibri" w:cs="Calibri"/>
          <w:sz w:val="22"/>
          <w:szCs w:val="22"/>
          <w:shd w:val="clear" w:color="auto" w:fill="FFFFFF"/>
        </w:rPr>
        <w:t>Priloga 20 se nadomesti z novo Prilogo 20, ki je kot Priloga 9 sestavni del tega sklepa.</w:t>
      </w:r>
    </w:p>
    <w:p w14:paraId="2307BB67" w14:textId="77777777" w:rsidR="004421CB" w:rsidRPr="004E2005" w:rsidRDefault="004421CB" w:rsidP="004421CB">
      <w:pPr>
        <w:pStyle w:val="poglavje"/>
        <w:shd w:val="clear" w:color="auto" w:fill="FFFFFF"/>
        <w:tabs>
          <w:tab w:val="left" w:pos="0"/>
        </w:tabs>
        <w:spacing w:before="480" w:beforeAutospacing="0" w:after="0" w:afterAutospacing="0"/>
        <w:jc w:val="center"/>
        <w:rPr>
          <w:rFonts w:ascii="Calibri" w:hAnsi="Calibri" w:cs="Calibri"/>
          <w:sz w:val="22"/>
          <w:szCs w:val="22"/>
        </w:rPr>
      </w:pPr>
      <w:r w:rsidRPr="004E2005">
        <w:rPr>
          <w:rFonts w:ascii="Calibri" w:hAnsi="Calibri" w:cs="Calibri"/>
          <w:sz w:val="22"/>
          <w:szCs w:val="22"/>
        </w:rPr>
        <w:t>PREHODNA IN KONČNA DOLOČBA</w:t>
      </w:r>
    </w:p>
    <w:p w14:paraId="7AAD364E"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62095102" w14:textId="77777777" w:rsidR="004421CB" w:rsidRPr="004039D5" w:rsidRDefault="004421CB" w:rsidP="004421CB">
      <w:pPr>
        <w:pStyle w:val="len"/>
        <w:shd w:val="clear" w:color="auto" w:fill="FFFFFF"/>
        <w:spacing w:before="240" w:beforeAutospacing="0" w:after="0" w:afterAutospacing="0"/>
        <w:jc w:val="center"/>
        <w:rPr>
          <w:rFonts w:ascii="Calibri" w:hAnsi="Calibri" w:cs="Calibri"/>
          <w:b/>
          <w:sz w:val="22"/>
          <w:szCs w:val="22"/>
          <w:shd w:val="clear" w:color="auto" w:fill="FFFFFF"/>
        </w:rPr>
      </w:pPr>
      <w:r w:rsidRPr="004039D5">
        <w:rPr>
          <w:rFonts w:ascii="Calibri" w:hAnsi="Calibri" w:cs="Calibri"/>
          <w:b/>
          <w:sz w:val="22"/>
          <w:szCs w:val="22"/>
          <w:shd w:val="clear" w:color="auto" w:fill="FFFFFF"/>
        </w:rPr>
        <w:t xml:space="preserve">(začetek </w:t>
      </w:r>
      <w:r>
        <w:rPr>
          <w:rFonts w:ascii="Calibri" w:hAnsi="Calibri" w:cs="Calibri"/>
          <w:b/>
          <w:sz w:val="22"/>
          <w:szCs w:val="22"/>
          <w:shd w:val="clear" w:color="auto" w:fill="FFFFFF"/>
        </w:rPr>
        <w:t xml:space="preserve">in podaljšanje </w:t>
      </w:r>
      <w:r w:rsidRPr="004039D5">
        <w:rPr>
          <w:rFonts w:ascii="Calibri" w:hAnsi="Calibri" w:cs="Calibri"/>
          <w:b/>
          <w:sz w:val="22"/>
          <w:szCs w:val="22"/>
          <w:shd w:val="clear" w:color="auto" w:fill="FFFFFF"/>
        </w:rPr>
        <w:t>uporabe)</w:t>
      </w:r>
    </w:p>
    <w:p w14:paraId="1A75B18A" w14:textId="05CFB7E8" w:rsidR="004421CB" w:rsidRPr="004E2005" w:rsidRDefault="004421CB" w:rsidP="004421CB">
      <w:pPr>
        <w:pStyle w:val="len"/>
        <w:shd w:val="clear" w:color="auto" w:fill="FFFFFF"/>
        <w:spacing w:before="240" w:beforeAutospacing="0" w:after="0" w:afterAutospacing="0"/>
        <w:ind w:firstLine="567"/>
        <w:jc w:val="both"/>
        <w:rPr>
          <w:rFonts w:ascii="Calibri" w:hAnsi="Calibri" w:cs="Calibri"/>
          <w:sz w:val="22"/>
          <w:szCs w:val="22"/>
          <w:shd w:val="clear" w:color="auto" w:fill="FFFFFF"/>
        </w:rPr>
      </w:pPr>
      <w:r>
        <w:rPr>
          <w:rFonts w:ascii="Calibri" w:hAnsi="Calibri" w:cs="Calibri"/>
          <w:sz w:val="22"/>
          <w:szCs w:val="22"/>
          <w:shd w:val="clear" w:color="auto" w:fill="FFFFFF"/>
        </w:rPr>
        <w:t>Nove Priloga</w:t>
      </w:r>
      <w:r w:rsidR="006E685D">
        <w:rPr>
          <w:rFonts w:ascii="Calibri" w:hAnsi="Calibri" w:cs="Calibri"/>
          <w:sz w:val="22"/>
          <w:szCs w:val="22"/>
          <w:shd w:val="clear" w:color="auto" w:fill="FFFFFF"/>
        </w:rPr>
        <w:t> </w:t>
      </w:r>
      <w:r>
        <w:rPr>
          <w:rFonts w:ascii="Calibri" w:hAnsi="Calibri" w:cs="Calibri"/>
          <w:sz w:val="22"/>
          <w:szCs w:val="22"/>
          <w:shd w:val="clear" w:color="auto" w:fill="FFFFFF"/>
        </w:rPr>
        <w:t>5, Priloga</w:t>
      </w:r>
      <w:r w:rsidR="006E685D">
        <w:rPr>
          <w:rFonts w:ascii="Calibri" w:hAnsi="Calibri" w:cs="Calibri"/>
          <w:sz w:val="22"/>
          <w:szCs w:val="22"/>
          <w:shd w:val="clear" w:color="auto" w:fill="FFFFFF"/>
        </w:rPr>
        <w:t> </w:t>
      </w:r>
      <w:r>
        <w:rPr>
          <w:rFonts w:ascii="Calibri" w:hAnsi="Calibri" w:cs="Calibri"/>
          <w:sz w:val="22"/>
          <w:szCs w:val="22"/>
          <w:shd w:val="clear" w:color="auto" w:fill="FFFFFF"/>
        </w:rPr>
        <w:t>12 in Priloga</w:t>
      </w:r>
      <w:r w:rsidR="006E685D">
        <w:rPr>
          <w:rFonts w:ascii="Calibri" w:hAnsi="Calibri" w:cs="Calibri"/>
          <w:sz w:val="22"/>
          <w:szCs w:val="22"/>
          <w:shd w:val="clear" w:color="auto" w:fill="FFFFFF"/>
        </w:rPr>
        <w:t> </w:t>
      </w:r>
      <w:r>
        <w:rPr>
          <w:rFonts w:ascii="Calibri" w:hAnsi="Calibri" w:cs="Calibri"/>
          <w:sz w:val="22"/>
          <w:szCs w:val="22"/>
          <w:shd w:val="clear" w:color="auto" w:fill="FFFFFF"/>
        </w:rPr>
        <w:t xml:space="preserve">18 </w:t>
      </w:r>
      <w:r w:rsidRPr="004E2005">
        <w:rPr>
          <w:rFonts w:ascii="Calibri" w:hAnsi="Calibri" w:cs="Calibri"/>
          <w:sz w:val="22"/>
          <w:szCs w:val="22"/>
          <w:shd w:val="clear" w:color="auto" w:fill="FFFFFF"/>
        </w:rPr>
        <w:t>se začne</w:t>
      </w:r>
      <w:r>
        <w:rPr>
          <w:rFonts w:ascii="Calibri" w:hAnsi="Calibri" w:cs="Calibri"/>
          <w:sz w:val="22"/>
          <w:szCs w:val="22"/>
          <w:shd w:val="clear" w:color="auto" w:fill="FFFFFF"/>
        </w:rPr>
        <w:t>jo</w:t>
      </w:r>
      <w:r w:rsidRPr="004E2005">
        <w:rPr>
          <w:rFonts w:ascii="Calibri" w:hAnsi="Calibri" w:cs="Calibri"/>
          <w:sz w:val="22"/>
          <w:szCs w:val="22"/>
          <w:shd w:val="clear" w:color="auto" w:fill="FFFFFF"/>
        </w:rPr>
        <w:t xml:space="preserve"> uporabljati 1.</w:t>
      </w:r>
      <w:r w:rsidR="006E685D">
        <w:rPr>
          <w:rFonts w:ascii="Calibri" w:hAnsi="Calibri" w:cs="Calibri"/>
          <w:sz w:val="22"/>
          <w:szCs w:val="22"/>
          <w:shd w:val="clear" w:color="auto" w:fill="FFFFFF"/>
        </w:rPr>
        <w:t> </w:t>
      </w:r>
      <w:r w:rsidRPr="004E2005">
        <w:rPr>
          <w:rFonts w:ascii="Calibri" w:hAnsi="Calibri" w:cs="Calibri"/>
          <w:sz w:val="22"/>
          <w:szCs w:val="22"/>
          <w:shd w:val="clear" w:color="auto" w:fill="FFFFFF"/>
        </w:rPr>
        <w:t>oktobra</w:t>
      </w:r>
      <w:r w:rsidR="006E685D">
        <w:rPr>
          <w:rFonts w:ascii="Calibri" w:hAnsi="Calibri" w:cs="Calibri"/>
          <w:sz w:val="22"/>
          <w:szCs w:val="22"/>
          <w:shd w:val="clear" w:color="auto" w:fill="FFFFFF"/>
        </w:rPr>
        <w:t> </w:t>
      </w:r>
      <w:r w:rsidRPr="004E2005">
        <w:rPr>
          <w:rFonts w:ascii="Calibri" w:hAnsi="Calibri" w:cs="Calibri"/>
          <w:sz w:val="22"/>
          <w:szCs w:val="22"/>
          <w:shd w:val="clear" w:color="auto" w:fill="FFFFFF"/>
        </w:rPr>
        <w:t>2024</w:t>
      </w:r>
      <w:r>
        <w:rPr>
          <w:rFonts w:ascii="Calibri" w:hAnsi="Calibri" w:cs="Calibri"/>
          <w:sz w:val="22"/>
          <w:szCs w:val="22"/>
          <w:shd w:val="clear" w:color="auto" w:fill="FFFFFF"/>
        </w:rPr>
        <w:t>, do takrat pa</w:t>
      </w:r>
      <w:r w:rsidRPr="004E2005">
        <w:rPr>
          <w:rFonts w:ascii="Calibri" w:hAnsi="Calibri" w:cs="Calibri"/>
          <w:sz w:val="22"/>
          <w:szCs w:val="22"/>
          <w:shd w:val="clear" w:color="auto" w:fill="FFFFFF"/>
        </w:rPr>
        <w:t xml:space="preserve"> se </w:t>
      </w:r>
      <w:proofErr w:type="gramStart"/>
      <w:r w:rsidRPr="004E2005">
        <w:rPr>
          <w:rFonts w:ascii="Calibri" w:hAnsi="Calibri" w:cs="Calibri"/>
          <w:sz w:val="22"/>
          <w:szCs w:val="22"/>
          <w:shd w:val="clear" w:color="auto" w:fill="FFFFFF"/>
        </w:rPr>
        <w:t>uporablja</w:t>
      </w:r>
      <w:r>
        <w:rPr>
          <w:rFonts w:ascii="Calibri" w:hAnsi="Calibri" w:cs="Calibri"/>
          <w:sz w:val="22"/>
          <w:szCs w:val="22"/>
          <w:shd w:val="clear" w:color="auto" w:fill="FFFFFF"/>
        </w:rPr>
        <w:t>jo</w:t>
      </w:r>
      <w:proofErr w:type="gramEnd"/>
      <w:r w:rsidRPr="004E2005">
        <w:rPr>
          <w:rFonts w:ascii="Calibri" w:hAnsi="Calibri" w:cs="Calibri"/>
          <w:sz w:val="22"/>
          <w:szCs w:val="22"/>
          <w:shd w:val="clear" w:color="auto" w:fill="FFFFFF"/>
        </w:rPr>
        <w:t xml:space="preserve"> Priloga</w:t>
      </w:r>
      <w:r w:rsidR="006E685D">
        <w:rPr>
          <w:rFonts w:ascii="Calibri" w:hAnsi="Calibri" w:cs="Calibri"/>
          <w:sz w:val="22"/>
          <w:szCs w:val="22"/>
          <w:shd w:val="clear" w:color="auto" w:fill="FFFFFF"/>
        </w:rPr>
        <w:t> </w:t>
      </w:r>
      <w:r w:rsidRPr="004E2005">
        <w:rPr>
          <w:rFonts w:ascii="Calibri" w:hAnsi="Calibri" w:cs="Calibri"/>
          <w:sz w:val="22"/>
          <w:szCs w:val="22"/>
          <w:shd w:val="clear" w:color="auto" w:fill="FFFFFF"/>
        </w:rPr>
        <w:t>5</w:t>
      </w:r>
      <w:r>
        <w:rPr>
          <w:rFonts w:ascii="Calibri" w:hAnsi="Calibri" w:cs="Calibri"/>
          <w:sz w:val="22"/>
          <w:szCs w:val="22"/>
          <w:shd w:val="clear" w:color="auto" w:fill="FFFFFF"/>
        </w:rPr>
        <w:t>,</w:t>
      </w:r>
      <w:r w:rsidRPr="004E2005">
        <w:rPr>
          <w:rFonts w:ascii="Calibri" w:hAnsi="Calibri" w:cs="Calibri"/>
          <w:sz w:val="22"/>
          <w:szCs w:val="22"/>
          <w:shd w:val="clear" w:color="auto" w:fill="FFFFFF"/>
        </w:rPr>
        <w:t xml:space="preserve"> Priloga</w:t>
      </w:r>
      <w:r w:rsidR="006E685D">
        <w:rPr>
          <w:rFonts w:ascii="Calibri" w:hAnsi="Calibri" w:cs="Calibri"/>
          <w:sz w:val="22"/>
          <w:szCs w:val="22"/>
          <w:shd w:val="clear" w:color="auto" w:fill="FFFFFF"/>
        </w:rPr>
        <w:t> </w:t>
      </w:r>
      <w:r w:rsidRPr="004E2005">
        <w:rPr>
          <w:rFonts w:ascii="Calibri" w:hAnsi="Calibri" w:cs="Calibri"/>
          <w:sz w:val="22"/>
          <w:szCs w:val="22"/>
          <w:shd w:val="clear" w:color="auto" w:fill="FFFFFF"/>
        </w:rPr>
        <w:t>12</w:t>
      </w:r>
      <w:r>
        <w:rPr>
          <w:rFonts w:ascii="Calibri" w:hAnsi="Calibri" w:cs="Calibri"/>
          <w:sz w:val="22"/>
          <w:szCs w:val="22"/>
          <w:shd w:val="clear" w:color="auto" w:fill="FFFFFF"/>
        </w:rPr>
        <w:t xml:space="preserve"> in Priloga</w:t>
      </w:r>
      <w:r w:rsidR="006E685D">
        <w:rPr>
          <w:rFonts w:ascii="Calibri" w:hAnsi="Calibri" w:cs="Calibri"/>
          <w:sz w:val="22"/>
          <w:szCs w:val="22"/>
          <w:shd w:val="clear" w:color="auto" w:fill="FFFFFF"/>
        </w:rPr>
        <w:t> </w:t>
      </w:r>
      <w:r>
        <w:rPr>
          <w:rFonts w:ascii="Calibri" w:hAnsi="Calibri" w:cs="Calibri"/>
          <w:sz w:val="22"/>
          <w:szCs w:val="22"/>
          <w:shd w:val="clear" w:color="auto" w:fill="FFFFFF"/>
        </w:rPr>
        <w:t>18</w:t>
      </w:r>
      <w:r w:rsidRPr="004E2005">
        <w:rPr>
          <w:rFonts w:ascii="Calibri" w:hAnsi="Calibri" w:cs="Calibri"/>
          <w:sz w:val="22"/>
          <w:szCs w:val="22"/>
          <w:shd w:val="clear" w:color="auto" w:fill="FFFFFF"/>
        </w:rPr>
        <w:t xml:space="preserve"> Sklepa o zdravstvenih stanjih in drugih pogojih za upravičenost do medicinskih pripomočkov iz obveznega zdravstvenega </w:t>
      </w:r>
      <w:r w:rsidRPr="004E2005">
        <w:rPr>
          <w:rFonts w:ascii="Calibri" w:hAnsi="Calibri" w:cs="Calibri"/>
          <w:sz w:val="22"/>
          <w:szCs w:val="22"/>
        </w:rPr>
        <w:t>zavarovanja</w:t>
      </w:r>
      <w:r w:rsidRPr="004E2005">
        <w:rPr>
          <w:rFonts w:ascii="Calibri" w:hAnsi="Calibri" w:cs="Calibri"/>
          <w:sz w:val="22"/>
          <w:szCs w:val="22"/>
          <w:shd w:val="clear" w:color="auto" w:fill="FFFFFF"/>
        </w:rPr>
        <w:t xml:space="preserve"> (Uradni list RS, št</w:t>
      </w:r>
      <w:r w:rsidRPr="004E2005">
        <w:rPr>
          <w:rFonts w:ascii="Calibri" w:hAnsi="Calibri" w:cs="Calibri"/>
          <w:sz w:val="22"/>
          <w:szCs w:val="22"/>
        </w:rPr>
        <w:t>. </w:t>
      </w:r>
      <w:hyperlink r:id="rId13" w:tooltip="Spremembe in dopolnitve pravil obveznega zdravstvenega zavarovanja (Uradni list RS, št. 61-1241/2021)" w:history="1">
        <w:r w:rsidRPr="004E2005">
          <w:rPr>
            <w:rFonts w:ascii="Calibri" w:hAnsi="Calibri" w:cs="Calibri"/>
            <w:sz w:val="22"/>
            <w:szCs w:val="22"/>
          </w:rPr>
          <w:t>61/21</w:t>
        </w:r>
      </w:hyperlink>
      <w:r w:rsidRPr="004E2005">
        <w:rPr>
          <w:rFonts w:ascii="Calibri" w:hAnsi="Calibri" w:cs="Calibri"/>
          <w:sz w:val="22"/>
          <w:szCs w:val="22"/>
          <w:shd w:val="clear" w:color="auto" w:fill="FFFFFF"/>
        </w:rPr>
        <w:t>, 183/21 in 163/22).</w:t>
      </w:r>
    </w:p>
    <w:p w14:paraId="3028BF9E" w14:textId="77777777" w:rsidR="004421CB" w:rsidRPr="004E2005" w:rsidRDefault="004421CB" w:rsidP="004421CB">
      <w:pPr>
        <w:pStyle w:val="len"/>
        <w:numPr>
          <w:ilvl w:val="0"/>
          <w:numId w:val="1"/>
        </w:numPr>
        <w:shd w:val="clear" w:color="auto" w:fill="FFFFFF"/>
        <w:spacing w:before="480" w:beforeAutospacing="0" w:after="0" w:afterAutospacing="0"/>
        <w:ind w:left="425" w:hanging="425"/>
        <w:jc w:val="center"/>
        <w:rPr>
          <w:rFonts w:ascii="Calibri" w:hAnsi="Calibri" w:cs="Calibri"/>
          <w:b/>
          <w:bCs/>
          <w:sz w:val="22"/>
          <w:szCs w:val="22"/>
        </w:rPr>
      </w:pPr>
      <w:r w:rsidRPr="004E2005">
        <w:rPr>
          <w:rFonts w:ascii="Calibri" w:hAnsi="Calibri" w:cs="Calibri"/>
          <w:b/>
          <w:bCs/>
          <w:sz w:val="22"/>
          <w:szCs w:val="22"/>
        </w:rPr>
        <w:t>člen</w:t>
      </w:r>
    </w:p>
    <w:p w14:paraId="264BEAFD" w14:textId="77777777" w:rsidR="004421CB" w:rsidRPr="004E2005" w:rsidRDefault="004421CB" w:rsidP="004421CB">
      <w:pPr>
        <w:pStyle w:val="len"/>
        <w:shd w:val="clear" w:color="auto" w:fill="FFFFFF"/>
        <w:spacing w:before="0" w:beforeAutospacing="0" w:after="0" w:afterAutospacing="0"/>
        <w:jc w:val="center"/>
        <w:rPr>
          <w:rFonts w:ascii="Calibri" w:hAnsi="Calibri" w:cs="Calibri"/>
          <w:b/>
          <w:bCs/>
          <w:sz w:val="22"/>
          <w:szCs w:val="22"/>
        </w:rPr>
      </w:pPr>
      <w:r w:rsidRPr="004E2005">
        <w:rPr>
          <w:rFonts w:ascii="Calibri" w:hAnsi="Calibri" w:cs="Calibri"/>
          <w:b/>
          <w:bCs/>
          <w:sz w:val="22"/>
          <w:szCs w:val="22"/>
        </w:rPr>
        <w:t>(začetek veljavnosti</w:t>
      </w:r>
      <w:r>
        <w:rPr>
          <w:rFonts w:ascii="Calibri" w:hAnsi="Calibri" w:cs="Calibri"/>
          <w:b/>
          <w:bCs/>
          <w:sz w:val="22"/>
          <w:szCs w:val="22"/>
        </w:rPr>
        <w:t xml:space="preserve"> in uporabe</w:t>
      </w:r>
      <w:r w:rsidRPr="004E2005">
        <w:rPr>
          <w:rFonts w:ascii="Calibri" w:hAnsi="Calibri" w:cs="Calibri"/>
          <w:b/>
          <w:bCs/>
          <w:sz w:val="22"/>
          <w:szCs w:val="22"/>
        </w:rPr>
        <w:t>)</w:t>
      </w:r>
    </w:p>
    <w:p w14:paraId="4982B68A" w14:textId="77777777" w:rsidR="004421CB" w:rsidRPr="004E2005" w:rsidRDefault="004421CB" w:rsidP="004421CB">
      <w:pPr>
        <w:shd w:val="clear" w:color="auto" w:fill="FFFFFF"/>
        <w:spacing w:before="240"/>
        <w:ind w:firstLine="567"/>
        <w:rPr>
          <w:rFonts w:asciiTheme="minorHAnsi" w:hAnsiTheme="minorHAnsi"/>
          <w:color w:val="000000"/>
        </w:rPr>
      </w:pPr>
      <w:r w:rsidRPr="004E2005">
        <w:rPr>
          <w:rFonts w:cs="Calibri"/>
        </w:rPr>
        <w:t xml:space="preserve">Ta sklep </w:t>
      </w:r>
      <w:r w:rsidRPr="004E2005">
        <w:rPr>
          <w:rFonts w:asciiTheme="minorHAnsi" w:hAnsiTheme="minorHAnsi"/>
          <w:color w:val="000000"/>
        </w:rPr>
        <w:t xml:space="preserve">začne veljati </w:t>
      </w:r>
      <w:r>
        <w:rPr>
          <w:rFonts w:asciiTheme="minorHAnsi" w:hAnsiTheme="minorHAnsi"/>
          <w:color w:val="000000"/>
        </w:rPr>
        <w:t>osmi</w:t>
      </w:r>
      <w:r w:rsidRPr="004E2005">
        <w:rPr>
          <w:rFonts w:asciiTheme="minorHAnsi" w:hAnsiTheme="minorHAnsi"/>
          <w:color w:val="000000"/>
        </w:rPr>
        <w:t xml:space="preserve"> dan </w:t>
      </w:r>
      <w:bookmarkStart w:id="1" w:name="_Hlk144723863"/>
      <w:r w:rsidRPr="004E2005">
        <w:rPr>
          <w:rFonts w:asciiTheme="minorHAnsi" w:hAnsiTheme="minorHAnsi"/>
          <w:color w:val="000000"/>
        </w:rPr>
        <w:t>po objavi v Uradnem listu Republike Slovenije</w:t>
      </w:r>
      <w:bookmarkEnd w:id="1"/>
      <w:r w:rsidRPr="004E2005">
        <w:rPr>
          <w:rFonts w:asciiTheme="minorHAnsi" w:hAnsiTheme="minorHAnsi"/>
          <w:color w:val="000000"/>
        </w:rPr>
        <w:t>, uporabljati pa se začne 1. januarja 2024.</w:t>
      </w:r>
    </w:p>
    <w:p w14:paraId="71EA98D1" w14:textId="658450C0" w:rsidR="004421CB" w:rsidRPr="001A3838" w:rsidRDefault="004421CB" w:rsidP="00E7123D">
      <w:pPr>
        <w:pStyle w:val="Brezrazmikov"/>
        <w:spacing w:before="480"/>
        <w:rPr>
          <w:rFonts w:asciiTheme="minorHAnsi" w:hAnsiTheme="minorHAnsi" w:cstheme="minorHAnsi"/>
          <w:sz w:val="22"/>
        </w:rPr>
      </w:pPr>
      <w:r w:rsidRPr="001A3838">
        <w:rPr>
          <w:rFonts w:asciiTheme="minorHAnsi" w:hAnsiTheme="minorHAnsi" w:cstheme="minorHAnsi"/>
          <w:sz w:val="22"/>
        </w:rPr>
        <w:t xml:space="preserve">Št. </w:t>
      </w:r>
      <w:r w:rsidR="001A3838" w:rsidRPr="001A3838">
        <w:rPr>
          <w:rFonts w:asciiTheme="minorHAnsi" w:eastAsiaTheme="minorHAnsi" w:hAnsiTheme="minorHAnsi" w:cstheme="minorHAnsi"/>
          <w:color w:val="000000"/>
          <w:sz w:val="22"/>
        </w:rPr>
        <w:t>0072-26/2023-DI/3</w:t>
      </w:r>
    </w:p>
    <w:p w14:paraId="4FF57F30" w14:textId="66ABDC9A" w:rsidR="004421CB" w:rsidRPr="004E2005" w:rsidRDefault="004421CB" w:rsidP="004421CB">
      <w:pPr>
        <w:pStyle w:val="Brezrazmikov"/>
        <w:rPr>
          <w:rFonts w:ascii="Calibri" w:hAnsi="Calibri" w:cs="Calibri"/>
          <w:sz w:val="22"/>
        </w:rPr>
      </w:pPr>
      <w:r w:rsidRPr="004E2005">
        <w:rPr>
          <w:rFonts w:ascii="Calibri" w:hAnsi="Calibri" w:cs="Calibri"/>
          <w:sz w:val="22"/>
        </w:rPr>
        <w:t>Ljubljana, dne </w:t>
      </w:r>
      <w:r w:rsidR="006A0F56">
        <w:rPr>
          <w:rFonts w:ascii="Calibri" w:hAnsi="Calibri" w:cs="Calibri"/>
          <w:sz w:val="22"/>
        </w:rPr>
        <w:t>21.</w:t>
      </w:r>
      <w:r w:rsidR="00E7123D">
        <w:rPr>
          <w:rFonts w:ascii="Calibri" w:hAnsi="Calibri" w:cs="Calibri"/>
          <w:sz w:val="22"/>
        </w:rPr>
        <w:t> </w:t>
      </w:r>
      <w:r w:rsidR="006A0F56">
        <w:rPr>
          <w:rFonts w:ascii="Calibri" w:hAnsi="Calibri" w:cs="Calibri"/>
          <w:sz w:val="22"/>
        </w:rPr>
        <w:t>novembra</w:t>
      </w:r>
      <w:r w:rsidR="00E7123D">
        <w:rPr>
          <w:rFonts w:ascii="Calibri" w:hAnsi="Calibri" w:cs="Calibri"/>
          <w:sz w:val="22"/>
        </w:rPr>
        <w:t> </w:t>
      </w:r>
      <w:r>
        <w:rPr>
          <w:rFonts w:ascii="Calibri" w:hAnsi="Calibri" w:cs="Calibri"/>
          <w:sz w:val="22"/>
        </w:rPr>
        <w:t>2023</w:t>
      </w:r>
    </w:p>
    <w:p w14:paraId="181D389F" w14:textId="77777777" w:rsidR="004421CB" w:rsidRPr="004E2005" w:rsidRDefault="004421CB" w:rsidP="004421CB">
      <w:pPr>
        <w:pStyle w:val="Brezrazmikov"/>
        <w:rPr>
          <w:rFonts w:ascii="Calibri" w:hAnsi="Calibri" w:cs="Calibri"/>
          <w:sz w:val="22"/>
        </w:rPr>
      </w:pPr>
      <w:r w:rsidRPr="004E2005">
        <w:rPr>
          <w:rFonts w:ascii="Calibri" w:hAnsi="Calibri" w:cs="Calibri"/>
          <w:sz w:val="22"/>
        </w:rPr>
        <w:t>EVA 2023-2711-0105</w:t>
      </w:r>
    </w:p>
    <w:p w14:paraId="3BB260D7" w14:textId="77777777" w:rsidR="00E7123D" w:rsidRPr="005A4D1E" w:rsidRDefault="00E7123D" w:rsidP="00E7123D">
      <w:pPr>
        <w:spacing w:before="240" w:line="240" w:lineRule="auto"/>
        <w:ind w:firstLine="4394"/>
        <w:rPr>
          <w:rFonts w:asciiTheme="minorHAnsi" w:hAnsiTheme="minorHAnsi"/>
        </w:rPr>
      </w:pPr>
      <w:r w:rsidRPr="005A4D1E">
        <w:rPr>
          <w:rFonts w:asciiTheme="minorHAnsi" w:hAnsiTheme="minorHAnsi"/>
        </w:rPr>
        <w:t>Zavod za zdravstveno zavarovanje Slovenije</w:t>
      </w:r>
    </w:p>
    <w:p w14:paraId="4539DF5D" w14:textId="77777777" w:rsidR="00E7123D" w:rsidRPr="005A4D1E" w:rsidRDefault="00E7123D" w:rsidP="00E7123D">
      <w:pPr>
        <w:ind w:firstLine="5670"/>
        <w:rPr>
          <w:rFonts w:asciiTheme="minorHAnsi" w:hAnsiTheme="minorHAnsi"/>
        </w:rPr>
      </w:pPr>
      <w:r w:rsidRPr="005A4D1E">
        <w:rPr>
          <w:rFonts w:asciiTheme="minorHAnsi" w:hAnsiTheme="minorHAnsi"/>
        </w:rPr>
        <w:t>Drago Delalut</w:t>
      </w:r>
    </w:p>
    <w:p w14:paraId="583AC2A8" w14:textId="77777777" w:rsidR="00E7123D" w:rsidRPr="005A4D1E" w:rsidRDefault="00E7123D" w:rsidP="00E7123D">
      <w:pPr>
        <w:ind w:firstLine="5387"/>
        <w:rPr>
          <w:rFonts w:asciiTheme="minorHAnsi" w:hAnsiTheme="minorHAnsi"/>
        </w:rPr>
      </w:pPr>
      <w:r>
        <w:rPr>
          <w:rFonts w:asciiTheme="minorHAnsi" w:hAnsiTheme="minorHAnsi"/>
        </w:rPr>
        <w:t>p</w:t>
      </w:r>
      <w:r w:rsidRPr="005A4D1E">
        <w:rPr>
          <w:rFonts w:asciiTheme="minorHAnsi" w:hAnsiTheme="minorHAnsi"/>
        </w:rPr>
        <w:t>redsednik</w:t>
      </w:r>
      <w:r>
        <w:rPr>
          <w:rFonts w:asciiTheme="minorHAnsi" w:hAnsiTheme="minorHAnsi"/>
        </w:rPr>
        <w:t xml:space="preserve"> skupščine</w:t>
      </w:r>
    </w:p>
    <w:p w14:paraId="614A98FF" w14:textId="77777777" w:rsidR="00E7123D" w:rsidRPr="005A4D1E" w:rsidRDefault="00E7123D" w:rsidP="00E7123D">
      <w:pPr>
        <w:tabs>
          <w:tab w:val="num" w:pos="0"/>
          <w:tab w:val="left" w:pos="5529"/>
        </w:tabs>
        <w:overflowPunct w:val="0"/>
        <w:autoSpaceDE w:val="0"/>
        <w:autoSpaceDN w:val="0"/>
        <w:adjustRightInd w:val="0"/>
        <w:spacing w:before="240"/>
        <w:ind w:left="5528" w:firstLine="284"/>
        <w:textAlignment w:val="baseline"/>
        <w:rPr>
          <w:rFonts w:asciiTheme="minorHAnsi" w:hAnsiTheme="minorHAnsi"/>
        </w:rPr>
      </w:pPr>
      <w:r w:rsidRPr="005A4D1E">
        <w:rPr>
          <w:rFonts w:asciiTheme="minorHAnsi" w:hAnsiTheme="minorHAnsi"/>
        </w:rPr>
        <w:t>Soglašam!</w:t>
      </w:r>
    </w:p>
    <w:p w14:paraId="05DC530B" w14:textId="77777777" w:rsidR="00E7123D" w:rsidRPr="005A4D1E" w:rsidRDefault="00E7123D" w:rsidP="00E7123D">
      <w:pPr>
        <w:tabs>
          <w:tab w:val="num" w:pos="4678"/>
          <w:tab w:val="left" w:pos="4962"/>
        </w:tabs>
        <w:overflowPunct w:val="0"/>
        <w:autoSpaceDE w:val="0"/>
        <w:autoSpaceDN w:val="0"/>
        <w:adjustRightInd w:val="0"/>
        <w:spacing w:before="120"/>
        <w:ind w:firstLine="5103"/>
        <w:textAlignment w:val="baseline"/>
        <w:rPr>
          <w:rFonts w:asciiTheme="minorHAnsi" w:hAnsiTheme="minorHAnsi"/>
        </w:rPr>
      </w:pPr>
      <w:r w:rsidRPr="005A4D1E">
        <w:rPr>
          <w:rFonts w:asciiTheme="minorHAnsi" w:hAnsiTheme="minorHAnsi"/>
        </w:rPr>
        <w:t>Dr.</w:t>
      </w:r>
      <w:r>
        <w:rPr>
          <w:rFonts w:asciiTheme="minorHAnsi" w:hAnsiTheme="minorHAnsi"/>
        </w:rPr>
        <w:t> </w:t>
      </w:r>
      <w:r w:rsidRPr="005A4D1E">
        <w:rPr>
          <w:rFonts w:asciiTheme="minorHAnsi" w:hAnsiTheme="minorHAnsi"/>
        </w:rPr>
        <w:t>Valentina</w:t>
      </w:r>
      <w:r>
        <w:rPr>
          <w:rFonts w:asciiTheme="minorHAnsi" w:hAnsiTheme="minorHAnsi"/>
        </w:rPr>
        <w:t> P</w:t>
      </w:r>
      <w:r w:rsidRPr="005A4D1E">
        <w:rPr>
          <w:rFonts w:asciiTheme="minorHAnsi" w:hAnsiTheme="minorHAnsi"/>
        </w:rPr>
        <w:t>revolnik</w:t>
      </w:r>
      <w:r>
        <w:rPr>
          <w:rFonts w:asciiTheme="minorHAnsi" w:hAnsiTheme="minorHAnsi"/>
        </w:rPr>
        <w:t> </w:t>
      </w:r>
      <w:r w:rsidRPr="005A4D1E">
        <w:rPr>
          <w:rFonts w:asciiTheme="minorHAnsi" w:hAnsiTheme="minorHAnsi"/>
        </w:rPr>
        <w:t>Rupel</w:t>
      </w:r>
    </w:p>
    <w:p w14:paraId="706A8FC1" w14:textId="77777777" w:rsidR="00E7123D" w:rsidRPr="005A4D1E" w:rsidRDefault="00E7123D" w:rsidP="00E7123D">
      <w:pPr>
        <w:ind w:firstLine="5812"/>
        <w:rPr>
          <w:rFonts w:asciiTheme="minorHAnsi" w:hAnsiTheme="minorHAnsi"/>
        </w:rPr>
      </w:pPr>
      <w:r w:rsidRPr="005A4D1E">
        <w:rPr>
          <w:rFonts w:asciiTheme="minorHAnsi" w:hAnsiTheme="minorHAnsi"/>
        </w:rPr>
        <w:t>ministrica</w:t>
      </w:r>
    </w:p>
    <w:p w14:paraId="4319D93F" w14:textId="6838E0F7" w:rsidR="00446508" w:rsidRDefault="00E7123D" w:rsidP="00E7123D">
      <w:pPr>
        <w:ind w:firstLine="5812"/>
        <w:rPr>
          <w:rFonts w:asciiTheme="minorHAnsi" w:hAnsiTheme="minorHAnsi"/>
        </w:rPr>
      </w:pPr>
      <w:r w:rsidRPr="005A4D1E">
        <w:rPr>
          <w:rFonts w:asciiTheme="minorHAnsi" w:hAnsiTheme="minorHAnsi"/>
        </w:rPr>
        <w:t>za</w:t>
      </w:r>
      <w:r>
        <w:rPr>
          <w:rFonts w:asciiTheme="minorHAnsi" w:hAnsiTheme="minorHAnsi"/>
        </w:rPr>
        <w:t> </w:t>
      </w:r>
      <w:r w:rsidRPr="005A4D1E">
        <w:rPr>
          <w:rFonts w:asciiTheme="minorHAnsi" w:hAnsiTheme="minorHAnsi"/>
        </w:rPr>
        <w:t>zdravje</w:t>
      </w:r>
    </w:p>
    <w:p w14:paraId="691B5372" w14:textId="77777777" w:rsidR="00446508" w:rsidRDefault="00446508">
      <w:pPr>
        <w:tabs>
          <w:tab w:val="clear" w:pos="5670"/>
        </w:tabs>
        <w:spacing w:after="160" w:line="259" w:lineRule="auto"/>
        <w:jc w:val="left"/>
        <w:rPr>
          <w:rFonts w:asciiTheme="minorHAnsi" w:hAnsiTheme="minorHAnsi"/>
        </w:rPr>
      </w:pPr>
      <w:r>
        <w:rPr>
          <w:rFonts w:asciiTheme="minorHAnsi" w:hAnsiTheme="minorHAnsi"/>
        </w:rPr>
        <w:br w:type="page"/>
      </w:r>
    </w:p>
    <w:p w14:paraId="4EE7DBCE" w14:textId="77777777" w:rsidR="00446508" w:rsidRPr="005A4D1E" w:rsidRDefault="00446508" w:rsidP="00B0197D">
      <w:pPr>
        <w:tabs>
          <w:tab w:val="left" w:pos="7425"/>
        </w:tabs>
        <w:spacing w:line="240" w:lineRule="auto"/>
        <w:rPr>
          <w:rFonts w:asciiTheme="minorHAnsi" w:hAnsiTheme="minorHAnsi"/>
          <w:b/>
        </w:rPr>
      </w:pPr>
      <w:bookmarkStart w:id="2" w:name="_Hlk111702874"/>
      <w:r w:rsidRPr="005A4D1E">
        <w:rPr>
          <w:rFonts w:asciiTheme="minorHAnsi" w:hAnsiTheme="minorHAnsi"/>
          <w:b/>
        </w:rPr>
        <w:lastRenderedPageBreak/>
        <w:t>II. OBRAZLOŽITEV ČLENOV</w:t>
      </w:r>
    </w:p>
    <w:bookmarkEnd w:id="2"/>
    <w:p w14:paraId="4D277C6A"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 sklepa)</w:t>
      </w:r>
    </w:p>
    <w:p w14:paraId="7EDCBEFA" w14:textId="77777777" w:rsidR="00B0197D" w:rsidRPr="004E2005" w:rsidRDefault="00B0197D" w:rsidP="00B0197D">
      <w:pPr>
        <w:tabs>
          <w:tab w:val="clear" w:pos="5670"/>
          <w:tab w:val="left" w:pos="1134"/>
        </w:tabs>
        <w:spacing w:before="120" w:line="240" w:lineRule="auto"/>
        <w:rPr>
          <w:rFonts w:eastAsia="Times New Roman" w:cs="Calibri"/>
        </w:rPr>
      </w:pPr>
      <w:r w:rsidRPr="004E2005">
        <w:rPr>
          <w:rFonts w:cs="Calibri"/>
        </w:rPr>
        <w:t xml:space="preserve">Pri MP iz skupine MP proteze udov se pri </w:t>
      </w:r>
      <w:r w:rsidRPr="004E2005">
        <w:rPr>
          <w:rFonts w:eastAsia="Times New Roman" w:cs="Calibri"/>
          <w:i/>
          <w:iCs/>
        </w:rPr>
        <w:t>podlaktni protezi funkcionalni – mioelektrični</w:t>
      </w:r>
      <w:r w:rsidRPr="004E2005">
        <w:rPr>
          <w:rFonts w:eastAsia="Times New Roman" w:cs="Calibri"/>
        </w:rPr>
        <w:t xml:space="preserve"> (šifri 165 in 166):</w:t>
      </w:r>
    </w:p>
    <w:p w14:paraId="7597802B" w14:textId="77777777" w:rsidR="00B0197D" w:rsidRPr="004E2005" w:rsidRDefault="00B0197D" w:rsidP="00B0197D">
      <w:pPr>
        <w:pStyle w:val="Odstavekseznama"/>
        <w:numPr>
          <w:ilvl w:val="0"/>
          <w:numId w:val="6"/>
        </w:numPr>
        <w:tabs>
          <w:tab w:val="clear" w:pos="5670"/>
          <w:tab w:val="left" w:pos="1134"/>
        </w:tabs>
        <w:spacing w:line="240" w:lineRule="auto"/>
        <w:contextualSpacing w:val="0"/>
        <w:rPr>
          <w:rFonts w:cs="Calibri"/>
        </w:rPr>
      </w:pPr>
      <w:r w:rsidRPr="004E2005">
        <w:rPr>
          <w:rFonts w:cs="Calibri"/>
        </w:rPr>
        <w:t>zaradi uskladitve s črtanjem 69. člena pravil spremeni (razširi) drug pogoj, tako da bodo do te proteze glede na starost upravičene vse osebe, ne zgolj otroci in mladostniki, ki se redno šolajo ali usposabljajo za poklic,</w:t>
      </w:r>
    </w:p>
    <w:p w14:paraId="501CDB7E" w14:textId="1D0B92F2" w:rsidR="00B0197D" w:rsidRPr="004E2005" w:rsidRDefault="00B0197D" w:rsidP="00B0197D">
      <w:pPr>
        <w:pStyle w:val="Odstavekseznama"/>
        <w:numPr>
          <w:ilvl w:val="0"/>
          <w:numId w:val="6"/>
        </w:numPr>
        <w:tabs>
          <w:tab w:val="clear" w:pos="5670"/>
          <w:tab w:val="left" w:pos="1134"/>
        </w:tabs>
        <w:spacing w:line="240" w:lineRule="auto"/>
        <w:contextualSpacing w:val="0"/>
        <w:rPr>
          <w:rFonts w:cs="Calibri"/>
        </w:rPr>
      </w:pPr>
      <w:r w:rsidRPr="004E2005">
        <w:rPr>
          <w:rFonts w:cs="Calibri"/>
        </w:rPr>
        <w:t xml:space="preserve">razširi zdravstveno stanje, tako da ne gre nujno več samo za amputacijo, temveč tudi za </w:t>
      </w:r>
      <w:r w:rsidRPr="004E2005">
        <w:rPr>
          <w:rFonts w:cs="Calibri"/>
          <w:lang w:eastAsia="sl-SI"/>
        </w:rPr>
        <w:t>enakovredno prirojeno ali pridobljeno pomanjkljivost podlakti</w:t>
      </w:r>
      <w:r w:rsidRPr="004E2005">
        <w:rPr>
          <w:rFonts w:cs="Calibri"/>
        </w:rPr>
        <w:t xml:space="preserve"> (npr. prirojene deformacije kosti v podlakti).</w:t>
      </w:r>
    </w:p>
    <w:p w14:paraId="7E1D63EF" w14:textId="39518E89" w:rsidR="00B0197D" w:rsidRPr="008B32DB" w:rsidRDefault="00B0197D" w:rsidP="00B0197D">
      <w:pPr>
        <w:tabs>
          <w:tab w:val="clear" w:pos="5670"/>
          <w:tab w:val="left" w:pos="1134"/>
        </w:tabs>
        <w:spacing w:before="120" w:line="240" w:lineRule="auto"/>
        <w:rPr>
          <w:rFonts w:cs="Calibri"/>
        </w:rPr>
      </w:pPr>
      <w:r w:rsidRPr="004E2005">
        <w:rPr>
          <w:rFonts w:cs="Calibri"/>
        </w:rPr>
        <w:t>Finančne posledice: Pričakuje se, da bo do tega MP po novem upravičeno pribl. 5 oseb letno več kot predhodno (v letu 2022 je podlaktni mehanski protezi s šiframa 163 in 164 prejelo 6 oseb, v letu 2021 pa 3 osebe), kar bi ob razliki v pogodbenih oz. odobrenih cenah 15.000 € na protezo pomenilo povečanje odhodkov v višini 75.000 € letno. Ker pa je zavod te primere že doslej obravnaval v postopkih izjemnih odobritev in jih v nekaterih primerih tudi odobril, pričakujemo povečanje odhodkov zavoda za pribl. 30.000 € letno.</w:t>
      </w:r>
    </w:p>
    <w:p w14:paraId="488FCEFF"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5 sklepa)</w:t>
      </w:r>
    </w:p>
    <w:p w14:paraId="5004DA30" w14:textId="50385B18" w:rsidR="00B0197D" w:rsidRPr="004E2005" w:rsidRDefault="00B0197D" w:rsidP="00B0197D">
      <w:pPr>
        <w:spacing w:before="120" w:line="240" w:lineRule="auto"/>
        <w:rPr>
          <w:rFonts w:cs="Calibri"/>
        </w:rPr>
      </w:pPr>
      <w:r w:rsidRPr="004E2005">
        <w:rPr>
          <w:rFonts w:cs="Calibri"/>
        </w:rPr>
        <w:t xml:space="preserve">Pri MP iz skupine MP za podporo gibalnih zmožnosti se zaradi uskladitve z novelo pravil črtata </w:t>
      </w:r>
      <w:r w:rsidRPr="004E2005">
        <w:rPr>
          <w:rFonts w:cs="Calibri"/>
          <w:i/>
          <w:iCs/>
        </w:rPr>
        <w:t>akumulator za električni skuter in akumulator za voziček za elektromotorni pogon.</w:t>
      </w:r>
    </w:p>
    <w:p w14:paraId="65333D33" w14:textId="77777777" w:rsidR="00B0197D" w:rsidRPr="004E2005" w:rsidRDefault="00B0197D" w:rsidP="00B0197D">
      <w:pPr>
        <w:spacing w:before="120" w:line="240" w:lineRule="auto"/>
        <w:rPr>
          <w:rFonts w:cs="Calibri"/>
        </w:rPr>
      </w:pPr>
      <w:r w:rsidRPr="004E2005">
        <w:rPr>
          <w:rFonts w:cs="Calibri"/>
        </w:rPr>
        <w:t>Gl. obrazložitev pri spremembi 72. člena pravil.</w:t>
      </w:r>
    </w:p>
    <w:p w14:paraId="79BFBE97" w14:textId="77777777" w:rsidR="00B0197D" w:rsidRPr="004E2005" w:rsidRDefault="00B0197D" w:rsidP="00B0197D">
      <w:pPr>
        <w:spacing w:before="120" w:line="240" w:lineRule="auto"/>
        <w:rPr>
          <w:rFonts w:cs="Calibri"/>
        </w:rPr>
      </w:pPr>
      <w:r w:rsidRPr="004E2005">
        <w:rPr>
          <w:rFonts w:cs="Calibri"/>
        </w:rPr>
        <w:t>Finančne posledice: Ni finančnih posledic.</w:t>
      </w:r>
    </w:p>
    <w:p w14:paraId="4BFFAABB"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6 sklepa)</w:t>
      </w:r>
    </w:p>
    <w:p w14:paraId="2A4595C9" w14:textId="77777777" w:rsidR="00B0197D" w:rsidRPr="004E2005" w:rsidRDefault="00B0197D" w:rsidP="00B0197D">
      <w:pPr>
        <w:spacing w:before="120" w:line="240" w:lineRule="auto"/>
        <w:rPr>
          <w:rFonts w:cs="Calibri"/>
        </w:rPr>
      </w:pPr>
      <w:r w:rsidRPr="004E2005">
        <w:rPr>
          <w:rFonts w:cs="Calibri"/>
        </w:rPr>
        <w:t xml:space="preserve">V skupini MP za dihanje se spreminjajo zdravstvena stanja in drugi pogoji pri naslednjih MP: </w:t>
      </w:r>
      <w:r w:rsidRPr="004E2005">
        <w:rPr>
          <w:rFonts w:cs="Calibri"/>
          <w:i/>
          <w:iCs/>
        </w:rPr>
        <w:t xml:space="preserve">električni masator pljuč, medicinski pripomoček za izkašljevanje z oscilirajočo </w:t>
      </w:r>
      <w:proofErr w:type="gramStart"/>
      <w:r w:rsidRPr="004E2005">
        <w:rPr>
          <w:rFonts w:cs="Calibri"/>
          <w:i/>
          <w:iCs/>
        </w:rPr>
        <w:t>PEEP valvulo</w:t>
      </w:r>
      <w:proofErr w:type="gramEnd"/>
      <w:r w:rsidRPr="004E2005">
        <w:rPr>
          <w:rFonts w:cs="Calibri"/>
          <w:i/>
          <w:iCs/>
        </w:rPr>
        <w:t xml:space="preserve"> </w:t>
      </w:r>
      <w:r w:rsidRPr="004E2005">
        <w:rPr>
          <w:rFonts w:cs="Calibri"/>
        </w:rPr>
        <w:t>in</w:t>
      </w:r>
      <w:r w:rsidRPr="004E2005">
        <w:rPr>
          <w:rFonts w:cs="Calibri"/>
          <w:i/>
          <w:iCs/>
        </w:rPr>
        <w:t xml:space="preserve"> medicinski pripomoček za vzdrževanje pozitivnega tlaka med izdihom (PEEP valvula) z masko</w:t>
      </w:r>
      <w:r w:rsidRPr="004E2005">
        <w:rPr>
          <w:rFonts w:cs="Calibri"/>
        </w:rPr>
        <w:t>. Pri vseh teh MP so spremenjena zdravstvena stanja in drugi pogoji in so usklajena s predlagateljem, Pediatrično kliniko Univerzitetnega kliničnega centra Ljubljana.</w:t>
      </w:r>
    </w:p>
    <w:p w14:paraId="4A900F4B" w14:textId="77777777" w:rsidR="00B0197D" w:rsidRPr="004E2005" w:rsidRDefault="00B0197D" w:rsidP="00B0197D">
      <w:pPr>
        <w:spacing w:before="120" w:line="240" w:lineRule="auto"/>
        <w:rPr>
          <w:rFonts w:cs="Calibri"/>
        </w:rPr>
      </w:pPr>
      <w:r w:rsidRPr="004E2005">
        <w:rPr>
          <w:rFonts w:cs="Calibri"/>
        </w:rPr>
        <w:t>Pri električnem masatorju pljuč se spremenijo zdravstvena stanja in drugi pogoji, ki so bili doslej vezani samo na cistično fibrozo, po novem pa se širijo še na druga stanja (npr. bronhiektazije), pri katerih je zmanjšana moč kašlja.</w:t>
      </w:r>
    </w:p>
    <w:p w14:paraId="13A790D5" w14:textId="1E2B1E4A" w:rsidR="00B0197D" w:rsidRPr="004E2005" w:rsidRDefault="00B0197D" w:rsidP="00B0197D">
      <w:pPr>
        <w:spacing w:before="120" w:line="240" w:lineRule="auto"/>
        <w:rPr>
          <w:rFonts w:cs="Calibri"/>
        </w:rPr>
      </w:pPr>
      <w:r w:rsidRPr="004E2005">
        <w:rPr>
          <w:rFonts w:cs="Calibri"/>
        </w:rPr>
        <w:t xml:space="preserve">Odslej se obe </w:t>
      </w:r>
      <w:proofErr w:type="gramStart"/>
      <w:r w:rsidRPr="004E2005">
        <w:rPr>
          <w:rFonts w:cs="Calibri"/>
        </w:rPr>
        <w:t>PEEP valvuli</w:t>
      </w:r>
      <w:proofErr w:type="gramEnd"/>
      <w:r w:rsidRPr="004E2005">
        <w:rPr>
          <w:rFonts w:cs="Calibri"/>
        </w:rPr>
        <w:t xml:space="preserve"> ne bosta več medsebojno izključevali, pri PEEP valvuli z masko je odstranjena omejitev, da bi jo lahko dobile le osebe, mlajše od 18</w:t>
      </w:r>
      <w:r>
        <w:rPr>
          <w:rFonts w:cs="Calibri"/>
        </w:rPr>
        <w:t> </w:t>
      </w:r>
      <w:r w:rsidRPr="004E2005">
        <w:rPr>
          <w:rFonts w:cs="Calibri"/>
        </w:rPr>
        <w:t>let (po novem je pogoj, da je taka zavarovana oseba zbolela pred 18.</w:t>
      </w:r>
      <w:r>
        <w:rPr>
          <w:rFonts w:cs="Calibri"/>
        </w:rPr>
        <w:t> </w:t>
      </w:r>
      <w:r w:rsidRPr="004E2005">
        <w:rPr>
          <w:rFonts w:cs="Calibri"/>
        </w:rPr>
        <w:t>letom starosti, lahko je torej dobi tudi kot polnoletna), dodana pa je upravičenost do te valvule tudi za osebe z zmanjšano močjo kašlja.</w:t>
      </w:r>
    </w:p>
    <w:p w14:paraId="1E6BF407" w14:textId="3D7E2042" w:rsidR="00B0197D" w:rsidRPr="004E2005" w:rsidRDefault="00B0197D" w:rsidP="00B0197D">
      <w:pPr>
        <w:spacing w:before="120" w:line="240" w:lineRule="auto"/>
        <w:rPr>
          <w:rFonts w:cs="Calibri"/>
        </w:rPr>
      </w:pPr>
      <w:r w:rsidRPr="004E2005">
        <w:rPr>
          <w:rFonts w:cs="Calibri"/>
        </w:rPr>
        <w:t xml:space="preserve">Finančne posledice: </w:t>
      </w:r>
      <w:r w:rsidRPr="004E2005">
        <w:rPr>
          <w:rFonts w:eastAsiaTheme="minorHAnsi" w:cs="Calibri"/>
          <w:color w:val="000000"/>
        </w:rPr>
        <w:t>Ocenjuje se, da bo za okoli 20</w:t>
      </w:r>
      <w:r>
        <w:rPr>
          <w:rFonts w:eastAsiaTheme="minorHAnsi" w:cs="Calibri"/>
          <w:color w:val="000000"/>
        </w:rPr>
        <w:t> </w:t>
      </w:r>
      <w:r w:rsidRPr="004E2005">
        <w:rPr>
          <w:rFonts w:eastAsiaTheme="minorHAnsi" w:cs="Calibri"/>
          <w:color w:val="000000"/>
        </w:rPr>
        <w:t xml:space="preserve">% več izdanih </w:t>
      </w:r>
      <w:proofErr w:type="gramStart"/>
      <w:r w:rsidRPr="004E2005">
        <w:rPr>
          <w:rFonts w:eastAsiaTheme="minorHAnsi" w:cs="Calibri"/>
          <w:color w:val="000000"/>
        </w:rPr>
        <w:t>PEEP valvul</w:t>
      </w:r>
      <w:proofErr w:type="gramEnd"/>
      <w:r w:rsidRPr="004E2005">
        <w:rPr>
          <w:rFonts w:eastAsiaTheme="minorHAnsi" w:cs="Calibri"/>
          <w:color w:val="000000"/>
        </w:rPr>
        <w:t xml:space="preserve"> z masko in 5</w:t>
      </w:r>
      <w:r>
        <w:rPr>
          <w:rFonts w:eastAsiaTheme="minorHAnsi" w:cs="Calibri"/>
          <w:color w:val="000000"/>
        </w:rPr>
        <w:t> </w:t>
      </w:r>
      <w:r w:rsidRPr="004E2005">
        <w:rPr>
          <w:rFonts w:eastAsiaTheme="minorHAnsi" w:cs="Calibri"/>
          <w:color w:val="000000"/>
        </w:rPr>
        <w:t>do</w:t>
      </w:r>
      <w:r>
        <w:rPr>
          <w:rFonts w:eastAsiaTheme="minorHAnsi" w:cs="Calibri"/>
          <w:color w:val="000000"/>
        </w:rPr>
        <w:t> </w:t>
      </w:r>
      <w:r w:rsidRPr="004E2005">
        <w:rPr>
          <w:rFonts w:eastAsiaTheme="minorHAnsi" w:cs="Calibri"/>
          <w:color w:val="000000"/>
        </w:rPr>
        <w:t>10</w:t>
      </w:r>
      <w:r>
        <w:rPr>
          <w:rFonts w:eastAsiaTheme="minorHAnsi" w:cs="Calibri"/>
          <w:color w:val="000000"/>
        </w:rPr>
        <w:t> </w:t>
      </w:r>
      <w:r w:rsidRPr="004E2005">
        <w:rPr>
          <w:rFonts w:eastAsiaTheme="minorHAnsi" w:cs="Calibri"/>
          <w:color w:val="000000"/>
        </w:rPr>
        <w:t>% več za PEEP valvul z oscilirajočo valvulo</w:t>
      </w:r>
      <w:r w:rsidRPr="004E2005">
        <w:rPr>
          <w:rFonts w:cs="Calibri"/>
        </w:rPr>
        <w:t>, kar glede na veljavna cenovna standarda pomeni povečanje odhodkov za 1.665</w:t>
      </w:r>
      <w:r>
        <w:rPr>
          <w:rFonts w:cs="Calibri"/>
        </w:rPr>
        <w:t> </w:t>
      </w:r>
      <w:r w:rsidRPr="004E2005">
        <w:rPr>
          <w:rFonts w:cs="Calibri"/>
        </w:rPr>
        <w:t>€ letno iz zdravstvenega zavarovanja. Pri električnem masatorju pljuč ne bo finančnih posledic, saj se je doslej ta MP izdajal na podlagi izjemnih odobritev zavoda.</w:t>
      </w:r>
    </w:p>
    <w:p w14:paraId="2E7D704F"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10 sklepa)</w:t>
      </w:r>
    </w:p>
    <w:p w14:paraId="1D4A5048" w14:textId="7536BE88" w:rsidR="00B0197D" w:rsidRPr="004E2005" w:rsidRDefault="00B0197D" w:rsidP="00B0197D">
      <w:pPr>
        <w:tabs>
          <w:tab w:val="clear" w:pos="5670"/>
          <w:tab w:val="left" w:pos="1134"/>
        </w:tabs>
        <w:spacing w:before="120" w:line="240" w:lineRule="auto"/>
        <w:rPr>
          <w:rFonts w:eastAsiaTheme="minorHAnsi" w:cs="Calibri"/>
          <w:color w:val="000000"/>
        </w:rPr>
      </w:pPr>
      <w:r w:rsidRPr="004E2005">
        <w:rPr>
          <w:rFonts w:eastAsiaTheme="minorHAnsi" w:cs="Calibri"/>
          <w:color w:val="000000"/>
        </w:rPr>
        <w:t xml:space="preserve">Ob tem se preimenujejo nekatere vrste MP iz podskupine II. Dvodelne vrečke, tako da bo že iz naziva </w:t>
      </w:r>
      <w:proofErr w:type="gramStart"/>
      <w:r w:rsidRPr="004E2005">
        <w:rPr>
          <w:rFonts w:eastAsiaTheme="minorHAnsi" w:cs="Calibri"/>
          <w:color w:val="000000"/>
        </w:rPr>
        <w:t>vrste</w:t>
      </w:r>
      <w:proofErr w:type="gramEnd"/>
      <w:r w:rsidRPr="004E2005">
        <w:rPr>
          <w:rFonts w:eastAsiaTheme="minorHAnsi" w:cs="Calibri"/>
          <w:color w:val="000000"/>
        </w:rPr>
        <w:t xml:space="preserve"> MP razvidno, da gre za dvodelno vrečko oz. dvodelni sistem. Že doslej je pri enodelnih vrečkah oz. enodelnih sistemih iz naziva vrste razvidno, da so enodelni.</w:t>
      </w:r>
    </w:p>
    <w:p w14:paraId="46F69BDE" w14:textId="3376F236" w:rsidR="00B0197D" w:rsidRPr="004E2005" w:rsidRDefault="00B0197D" w:rsidP="00B0197D">
      <w:pPr>
        <w:spacing w:before="120" w:line="240" w:lineRule="auto"/>
        <w:rPr>
          <w:rFonts w:asciiTheme="minorHAnsi" w:hAnsiTheme="minorHAnsi"/>
        </w:rPr>
      </w:pPr>
      <w:r w:rsidRPr="004E2005">
        <w:rPr>
          <w:rFonts w:asciiTheme="minorHAnsi" w:hAnsiTheme="minorHAnsi"/>
        </w:rPr>
        <w:lastRenderedPageBreak/>
        <w:t>Posebna komisija je namreč obravnavala predloge za spremembe in dopolnitev osnovnih zahtev kakovosti za MP pri kolostomi, ileostomi in urostomi ter predlagala, da se iz teh zahtev umaknejo volumni vrečk, velikosti in oblike prirobnice, umaknejo se vse velike vrečke in doda nov pogoj, da je pobudnik dolžan zagotoviti vse artikle znotraj posameznega programa ali linije izdelkov.</w:t>
      </w:r>
    </w:p>
    <w:p w14:paraId="7DC678F3" w14:textId="77777777" w:rsidR="00B0197D" w:rsidRPr="004E2005" w:rsidRDefault="00B0197D" w:rsidP="00B0197D">
      <w:pPr>
        <w:tabs>
          <w:tab w:val="clear" w:pos="5670"/>
          <w:tab w:val="left" w:pos="1134"/>
        </w:tabs>
        <w:spacing w:before="120" w:line="240" w:lineRule="auto"/>
        <w:rPr>
          <w:rFonts w:cs="Calibri"/>
        </w:rPr>
      </w:pPr>
      <w:r w:rsidRPr="004E2005">
        <w:rPr>
          <w:rFonts w:cs="Calibri"/>
        </w:rPr>
        <w:t>Črta se tudi enodelni rokavnik za stomo, ker sta rokavnika za irigacijo združena.</w:t>
      </w:r>
    </w:p>
    <w:p w14:paraId="421AF24C" w14:textId="77777777" w:rsidR="00B0197D" w:rsidRPr="004E2005" w:rsidRDefault="00B0197D" w:rsidP="00B0197D">
      <w:pPr>
        <w:spacing w:before="120" w:line="240" w:lineRule="auto"/>
        <w:rPr>
          <w:rFonts w:cs="Calibri"/>
        </w:rPr>
      </w:pPr>
      <w:r w:rsidRPr="004E2005">
        <w:rPr>
          <w:rFonts w:cs="Calibri"/>
        </w:rPr>
        <w:t>Finančne posledice: Ni finančnih posledic.</w:t>
      </w:r>
    </w:p>
    <w:p w14:paraId="1ECE165E"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11 sklepa)</w:t>
      </w:r>
    </w:p>
    <w:p w14:paraId="633CD5EF" w14:textId="473B2078" w:rsidR="00B0197D" w:rsidRPr="004E2005" w:rsidRDefault="00B0197D" w:rsidP="00B0197D">
      <w:pPr>
        <w:spacing w:before="120" w:line="240" w:lineRule="auto"/>
        <w:rPr>
          <w:rFonts w:eastAsia="Times New Roman" w:cstheme="minorHAnsi"/>
        </w:rPr>
      </w:pPr>
      <w:r w:rsidRPr="004E2005">
        <w:rPr>
          <w:rFonts w:eastAsia="Times New Roman" w:cstheme="minorHAnsi"/>
        </w:rPr>
        <w:t xml:space="preserve">V skupini MP pri inkontinenci in težavah z odvajanjem seča se spreminjajo zdravstvena stanja in drugi </w:t>
      </w:r>
      <w:proofErr w:type="gramStart"/>
      <w:r w:rsidRPr="004E2005">
        <w:rPr>
          <w:rFonts w:eastAsia="Times New Roman" w:cstheme="minorHAnsi"/>
        </w:rPr>
        <w:t>pogoji</w:t>
      </w:r>
      <w:proofErr w:type="gramEnd"/>
      <w:r w:rsidRPr="004E2005">
        <w:rPr>
          <w:rFonts w:eastAsia="Times New Roman" w:cstheme="minorHAnsi"/>
        </w:rPr>
        <w:t xml:space="preserve"> za </w:t>
      </w:r>
      <w:r w:rsidRPr="004E2005">
        <w:rPr>
          <w:rFonts w:eastAsia="Times New Roman" w:cstheme="minorHAnsi"/>
          <w:i/>
          <w:iCs/>
        </w:rPr>
        <w:t>električni stimulator pri inkontinenci blata</w:t>
      </w:r>
      <w:r w:rsidRPr="004E2005">
        <w:rPr>
          <w:rFonts w:eastAsia="Times New Roman" w:cstheme="minorHAnsi"/>
        </w:rPr>
        <w:t>. Predlog je bil usklajen s predlagateljem Iatros</w:t>
      </w:r>
      <w:r>
        <w:rPr>
          <w:rFonts w:eastAsia="Times New Roman" w:cstheme="minorHAnsi"/>
        </w:rPr>
        <w:t> </w:t>
      </w:r>
      <w:proofErr w:type="gramStart"/>
      <w:r w:rsidRPr="004E2005">
        <w:rPr>
          <w:rFonts w:eastAsia="Times New Roman" w:cstheme="minorHAnsi"/>
        </w:rPr>
        <w:t>d.o.o.</w:t>
      </w:r>
      <w:proofErr w:type="gramEnd"/>
      <w:r w:rsidRPr="004E2005">
        <w:rPr>
          <w:rFonts w:eastAsia="Times New Roman" w:cstheme="minorHAnsi"/>
        </w:rPr>
        <w:t>, čigar zdravniki so pooblaščeni za predpis tega MP.</w:t>
      </w:r>
    </w:p>
    <w:p w14:paraId="2FE81E19" w14:textId="20B0A357" w:rsidR="00B0197D" w:rsidRPr="004E2005" w:rsidRDefault="00B0197D" w:rsidP="00B0197D">
      <w:pPr>
        <w:spacing w:before="120" w:line="240" w:lineRule="auto"/>
        <w:rPr>
          <w:rFonts w:eastAsia="Times New Roman" w:cstheme="minorHAnsi"/>
        </w:rPr>
      </w:pPr>
      <w:r w:rsidRPr="004E2005">
        <w:rPr>
          <w:rFonts w:eastAsia="Times New Roman" w:cstheme="minorHAnsi"/>
        </w:rPr>
        <w:t xml:space="preserve">Inkontinenca blata je ena od izjemno hudih težav, ki močno zaznamujejo psihosocialno počutje posameznika. Večinoma so pacientke ženske, ki so utrpele težjo obporodno poškodbo in stanja po </w:t>
      </w:r>
      <w:proofErr w:type="gramStart"/>
      <w:r w:rsidRPr="004E2005">
        <w:rPr>
          <w:rFonts w:eastAsia="Times New Roman" w:cstheme="minorHAnsi"/>
        </w:rPr>
        <w:t>večjih</w:t>
      </w:r>
      <w:proofErr w:type="gramEnd"/>
      <w:r w:rsidRPr="004E2005">
        <w:rPr>
          <w:rFonts w:eastAsia="Times New Roman" w:cstheme="minorHAnsi"/>
        </w:rPr>
        <w:t xml:space="preserve"> posegih v območju medenice.</w:t>
      </w:r>
    </w:p>
    <w:p w14:paraId="76D76A9D" w14:textId="1542BC2C" w:rsidR="00B0197D" w:rsidRPr="008B32DB" w:rsidRDefault="00B0197D" w:rsidP="00B0197D">
      <w:pPr>
        <w:tabs>
          <w:tab w:val="clear" w:pos="5670"/>
        </w:tabs>
        <w:autoSpaceDE w:val="0"/>
        <w:autoSpaceDN w:val="0"/>
        <w:adjustRightInd w:val="0"/>
        <w:spacing w:before="120" w:line="240" w:lineRule="auto"/>
        <w:rPr>
          <w:rFonts w:eastAsia="Times New Roman" w:cstheme="minorHAnsi"/>
        </w:rPr>
      </w:pPr>
      <w:r w:rsidRPr="004E2005">
        <w:rPr>
          <w:rFonts w:cs="Calibri"/>
        </w:rPr>
        <w:t xml:space="preserve">Finančne posledice: </w:t>
      </w:r>
      <w:r w:rsidRPr="004E2005">
        <w:rPr>
          <w:rFonts w:eastAsia="Times New Roman" w:cstheme="minorHAnsi"/>
        </w:rPr>
        <w:t xml:space="preserve">Glede na predhodno veljavna </w:t>
      </w:r>
      <w:r w:rsidRPr="004E2005">
        <w:rPr>
          <w:rFonts w:cs="Calibri"/>
        </w:rPr>
        <w:t xml:space="preserve">zdravstvena stanja in druge pogoje </w:t>
      </w:r>
      <w:r w:rsidRPr="004E2005">
        <w:rPr>
          <w:rFonts w:eastAsia="Times New Roman" w:cstheme="minorHAnsi"/>
        </w:rPr>
        <w:t>je v letu 2021 ta</w:t>
      </w:r>
      <w:r w:rsidRPr="004E2005">
        <w:rPr>
          <w:rFonts w:cstheme="minorHAnsi"/>
          <w:color w:val="000000"/>
        </w:rPr>
        <w:t xml:space="preserve"> stimulator </w:t>
      </w:r>
      <w:r w:rsidRPr="004E2005">
        <w:rPr>
          <w:rFonts w:eastAsia="Times New Roman" w:cstheme="minorHAnsi"/>
        </w:rPr>
        <w:t xml:space="preserve">prejelo 58 zavarovanih oseb. Po razširitvi kriterija se pričakuje, da bo dostop do tega MP imelo skupaj približno 200 oseb na leto, kar pomeni predvideno povečanje odhodkov iz </w:t>
      </w:r>
      <w:r w:rsidRPr="004E2005">
        <w:rPr>
          <w:rFonts w:cs="Calibri"/>
        </w:rPr>
        <w:t>zdravstvenega zavarovanja</w:t>
      </w:r>
      <w:r w:rsidRPr="004E2005">
        <w:rPr>
          <w:rFonts w:eastAsia="Times New Roman" w:cstheme="minorHAnsi"/>
        </w:rPr>
        <w:t xml:space="preserve"> 23.483 €</w:t>
      </w:r>
      <w:r w:rsidRPr="004E2005">
        <w:rPr>
          <w:rFonts w:cs="Calibri"/>
        </w:rPr>
        <w:t xml:space="preserve"> letno</w:t>
      </w:r>
      <w:r w:rsidRPr="004E2005">
        <w:rPr>
          <w:rFonts w:eastAsia="Times New Roman" w:cstheme="minorHAnsi"/>
        </w:rPr>
        <w:t>. Ker se v teh primerih pričakuje izboljšanje funkcije zadrževanja blata, pa se bodo zato zmanjšali stroški MP za enkratno uporabo pri inkontinenci.</w:t>
      </w:r>
    </w:p>
    <w:p w14:paraId="4121F874"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12 sklepa)</w:t>
      </w:r>
    </w:p>
    <w:p w14:paraId="4F4557E0" w14:textId="77777777" w:rsidR="00B0197D" w:rsidRPr="004E2005" w:rsidRDefault="00B0197D" w:rsidP="00B0197D">
      <w:pPr>
        <w:spacing w:before="120" w:line="240" w:lineRule="auto"/>
        <w:rPr>
          <w:rFonts w:cs="Calibri"/>
        </w:rPr>
      </w:pPr>
      <w:r w:rsidRPr="004E2005">
        <w:rPr>
          <w:rFonts w:cs="Calibri"/>
        </w:rPr>
        <w:t>Skladno z novelo pravil (92. člen pravil) se spreminjajo MP pri sladkorni bolezni:</w:t>
      </w:r>
    </w:p>
    <w:p w14:paraId="32490F22" w14:textId="77777777" w:rsidR="00B0197D" w:rsidRPr="004E2005" w:rsidRDefault="00B0197D" w:rsidP="00B0197D">
      <w:pPr>
        <w:pStyle w:val="Odstavekseznama"/>
        <w:numPr>
          <w:ilvl w:val="0"/>
          <w:numId w:val="6"/>
        </w:numPr>
        <w:tabs>
          <w:tab w:val="clear" w:pos="5670"/>
          <w:tab w:val="left" w:pos="1134"/>
        </w:tabs>
        <w:spacing w:line="240" w:lineRule="auto"/>
        <w:contextualSpacing w:val="0"/>
        <w:rPr>
          <w:rFonts w:cs="Calibri"/>
        </w:rPr>
      </w:pPr>
      <w:r w:rsidRPr="004E2005">
        <w:rPr>
          <w:rFonts w:cs="Calibri"/>
        </w:rPr>
        <w:t xml:space="preserve">namesto dosedanjih </w:t>
      </w:r>
      <w:r w:rsidRPr="004E2005">
        <w:rPr>
          <w:rFonts w:cs="Calibri"/>
          <w:i/>
          <w:iCs/>
        </w:rPr>
        <w:t xml:space="preserve">senzorja in oddajnika </w:t>
      </w:r>
      <w:r w:rsidRPr="004E2005">
        <w:rPr>
          <w:rFonts w:eastAsia="Times New Roman" w:cs="Calibri"/>
          <w:i/>
          <w:iCs/>
          <w:lang w:eastAsia="sl-SI"/>
        </w:rPr>
        <w:t>za kontinuirano merjenje glukoze v medceličnini</w:t>
      </w:r>
      <w:r w:rsidRPr="004E2005">
        <w:rPr>
          <w:rFonts w:eastAsia="Times New Roman" w:cs="Calibri"/>
          <w:lang w:eastAsia="sl-SI"/>
        </w:rPr>
        <w:t xml:space="preserve"> ter </w:t>
      </w:r>
      <w:r w:rsidRPr="004E2005">
        <w:rPr>
          <w:rFonts w:eastAsia="Times New Roman" w:cs="Calibri"/>
          <w:i/>
          <w:iCs/>
          <w:lang w:eastAsia="sl-SI"/>
        </w:rPr>
        <w:t>sprejemnika rezultatov kontinuirano merjenje glukoze v medceličnini</w:t>
      </w:r>
      <w:r w:rsidRPr="004E2005">
        <w:rPr>
          <w:rFonts w:eastAsia="Times New Roman" w:cs="Calibri"/>
          <w:lang w:eastAsia="sl-SI"/>
        </w:rPr>
        <w:t xml:space="preserve"> se uvaja nov, enoten MP, in sicer </w:t>
      </w:r>
      <w:r w:rsidRPr="004E2005">
        <w:rPr>
          <w:rFonts w:eastAsia="Times New Roman" w:cs="Calibri"/>
          <w:i/>
          <w:iCs/>
          <w:lang w:eastAsia="sl-SI"/>
        </w:rPr>
        <w:t>sistem za kontinuirano merjenje glukoze v medceličnini</w:t>
      </w:r>
      <w:r w:rsidRPr="004E2005">
        <w:rPr>
          <w:rFonts w:eastAsia="Times New Roman" w:cs="Calibri"/>
          <w:lang w:eastAsia="sl-SI"/>
        </w:rPr>
        <w:t>, ki je lahko kombinacija katerih koli prej</w:t>
      </w:r>
      <w:proofErr w:type="gramStart"/>
      <w:r w:rsidRPr="004E2005">
        <w:rPr>
          <w:rFonts w:eastAsia="Times New Roman" w:cs="Calibri"/>
          <w:lang w:eastAsia="sl-SI"/>
        </w:rPr>
        <w:t xml:space="preserve"> določenih</w:t>
      </w:r>
      <w:proofErr w:type="gramEnd"/>
      <w:r w:rsidRPr="004E2005">
        <w:rPr>
          <w:rFonts w:eastAsia="Times New Roman" w:cs="Calibri"/>
          <w:lang w:eastAsia="sl-SI"/>
        </w:rPr>
        <w:t xml:space="preserve"> MP;</w:t>
      </w:r>
    </w:p>
    <w:p w14:paraId="37D64E43" w14:textId="77777777" w:rsidR="00B0197D" w:rsidRPr="004E2005" w:rsidRDefault="00B0197D" w:rsidP="00B0197D">
      <w:pPr>
        <w:pStyle w:val="Odstavekseznama"/>
        <w:numPr>
          <w:ilvl w:val="0"/>
          <w:numId w:val="6"/>
        </w:numPr>
        <w:tabs>
          <w:tab w:val="clear" w:pos="5670"/>
          <w:tab w:val="left" w:pos="1134"/>
        </w:tabs>
        <w:spacing w:line="240" w:lineRule="auto"/>
        <w:contextualSpacing w:val="0"/>
        <w:rPr>
          <w:rFonts w:cs="Calibri"/>
        </w:rPr>
      </w:pPr>
      <w:r w:rsidRPr="004E2005">
        <w:rPr>
          <w:rFonts w:eastAsia="Times New Roman" w:cs="Calibri"/>
          <w:lang w:eastAsia="sl-SI"/>
        </w:rPr>
        <w:t xml:space="preserve">kot vrsta se črtata </w:t>
      </w:r>
      <w:r w:rsidRPr="004E2005">
        <w:rPr>
          <w:rFonts w:eastAsia="Times New Roman" w:cs="Calibri"/>
          <w:i/>
          <w:iCs/>
          <w:lang w:eastAsia="sl-SI"/>
        </w:rPr>
        <w:t>čitalnik in senzor za spremljanje glukoze v medceličnini</w:t>
      </w:r>
      <w:r w:rsidRPr="004E2005">
        <w:rPr>
          <w:rFonts w:eastAsia="Times New Roman" w:cs="Calibri"/>
          <w:lang w:eastAsia="sl-SI"/>
        </w:rPr>
        <w:t xml:space="preserve">, ki sta lahko združena v enoten MP, in sicer </w:t>
      </w:r>
      <w:r w:rsidRPr="004E2005">
        <w:rPr>
          <w:rFonts w:eastAsia="Times New Roman" w:cs="Calibri"/>
          <w:i/>
          <w:iCs/>
          <w:lang w:eastAsia="sl-SI"/>
        </w:rPr>
        <w:t>sistem za kontinuirano merjenje glukoze v medceličnini</w:t>
      </w:r>
      <w:r w:rsidRPr="004E2005">
        <w:rPr>
          <w:rFonts w:eastAsia="Times New Roman" w:cs="Calibri"/>
          <w:lang w:eastAsia="sl-SI"/>
        </w:rPr>
        <w:t xml:space="preserve">, kot je naziv nove vrste MP; </w:t>
      </w:r>
    </w:p>
    <w:p w14:paraId="3385420C" w14:textId="77777777" w:rsidR="00B0197D" w:rsidRPr="004E2005" w:rsidRDefault="00B0197D" w:rsidP="00B0197D">
      <w:pPr>
        <w:pStyle w:val="Odstavekseznama"/>
        <w:numPr>
          <w:ilvl w:val="0"/>
          <w:numId w:val="6"/>
        </w:numPr>
        <w:tabs>
          <w:tab w:val="clear" w:pos="5670"/>
          <w:tab w:val="left" w:pos="1134"/>
        </w:tabs>
        <w:spacing w:line="240" w:lineRule="auto"/>
        <w:contextualSpacing w:val="0"/>
        <w:rPr>
          <w:rFonts w:cs="Calibri"/>
        </w:rPr>
      </w:pPr>
      <w:r w:rsidRPr="00B0197D">
        <w:rPr>
          <w:rFonts w:eastAsia="Times New Roman" w:cs="Calibri"/>
          <w:lang w:eastAsia="sl-SI"/>
        </w:rPr>
        <w:t>črtata</w:t>
      </w:r>
      <w:r w:rsidRPr="004E2005">
        <w:rPr>
          <w:rFonts w:cs="Calibri"/>
        </w:rPr>
        <w:t xml:space="preserve"> se </w:t>
      </w:r>
      <w:r w:rsidRPr="004E2005">
        <w:rPr>
          <w:rFonts w:cs="Calibri"/>
          <w:i/>
          <w:iCs/>
        </w:rPr>
        <w:t>set in ampula za inzulinsko črpalko</w:t>
      </w:r>
      <w:r w:rsidRPr="004E2005">
        <w:rPr>
          <w:rFonts w:cs="Calibri"/>
        </w:rPr>
        <w:t xml:space="preserve"> in se po novem imenujeta skupno </w:t>
      </w:r>
      <w:r w:rsidRPr="004E2005">
        <w:rPr>
          <w:rFonts w:cs="Calibri"/>
          <w:i/>
          <w:iCs/>
        </w:rPr>
        <w:t>potrošni material za inzulinsko črpalko</w:t>
      </w:r>
      <w:r w:rsidRPr="004E2005">
        <w:rPr>
          <w:rFonts w:cs="Calibri"/>
        </w:rPr>
        <w:t>. Ta MP sta lahko ločena ali pa izdana skupaj.</w:t>
      </w:r>
    </w:p>
    <w:p w14:paraId="2E969F83" w14:textId="52231E6B" w:rsidR="00B0197D" w:rsidRPr="004E2005" w:rsidRDefault="00B0197D" w:rsidP="00B0197D">
      <w:pPr>
        <w:spacing w:before="120" w:line="240" w:lineRule="auto"/>
        <w:rPr>
          <w:rFonts w:cs="Calibri"/>
          <w:color w:val="000000"/>
        </w:rPr>
      </w:pPr>
      <w:r w:rsidRPr="004E2005">
        <w:rPr>
          <w:rFonts w:cs="Calibri"/>
          <w:color w:val="000000"/>
        </w:rPr>
        <w:t xml:space="preserve">Ker se </w:t>
      </w:r>
      <w:r w:rsidRPr="004E2005">
        <w:rPr>
          <w:rFonts w:cs="Calibri"/>
          <w:i/>
          <w:iCs/>
          <w:color w:val="000000"/>
        </w:rPr>
        <w:t>potrošni material za inzulinsko črpalko, sistem za kontinuirano merjenje glukoze v medceličnini in sistem za spremljanje glukoze v medceličnini</w:t>
      </w:r>
      <w:r w:rsidRPr="004E2005">
        <w:rPr>
          <w:rFonts w:cs="Calibri"/>
          <w:color w:val="000000"/>
        </w:rPr>
        <w:t xml:space="preserve"> na trgu </w:t>
      </w:r>
      <w:proofErr w:type="gramStart"/>
      <w:r w:rsidRPr="004E2005">
        <w:rPr>
          <w:rFonts w:cs="Calibri"/>
          <w:color w:val="000000"/>
        </w:rPr>
        <w:t>zagotavljajo</w:t>
      </w:r>
      <w:proofErr w:type="gramEnd"/>
      <w:r w:rsidRPr="004E2005">
        <w:rPr>
          <w:rFonts w:cs="Calibri"/>
          <w:color w:val="000000"/>
        </w:rPr>
        <w:t xml:space="preserve"> v več oblikah, npr. kot enoten sistem oz. potrošni material ali kot več MP, ki se pakirajo posebej ali v raznih kombinacijah (npr. pakiranje senzorja in oddajnika za kontinuirano merjenje glukoze je skupno, kot sprejemnik pa se uporablja </w:t>
      </w:r>
      <w:r w:rsidRPr="00B0197D">
        <w:rPr>
          <w:rFonts w:cs="Calibri"/>
        </w:rPr>
        <w:t>posebna</w:t>
      </w:r>
      <w:r w:rsidRPr="004E2005">
        <w:rPr>
          <w:rFonts w:cs="Calibri"/>
          <w:color w:val="000000"/>
        </w:rPr>
        <w:t xml:space="preserve"> aplikacija na mobilnem telefonu), se tudi v noveli pravil spremeni opredelitev vseh teh MP.</w:t>
      </w:r>
    </w:p>
    <w:p w14:paraId="637233CA" w14:textId="77777777" w:rsidR="00B0197D" w:rsidRPr="004E2005" w:rsidRDefault="00B0197D" w:rsidP="00B0197D">
      <w:pPr>
        <w:spacing w:before="120" w:line="240" w:lineRule="auto"/>
        <w:rPr>
          <w:rFonts w:cs="Calibri"/>
        </w:rPr>
      </w:pPr>
      <w:bookmarkStart w:id="3" w:name="_Hlk109811764"/>
      <w:r w:rsidRPr="004E2005">
        <w:rPr>
          <w:rFonts w:cs="Calibri"/>
        </w:rPr>
        <w:t>Finančne posledice: Ni finančnih posledic.</w:t>
      </w:r>
    </w:p>
    <w:bookmarkEnd w:id="3"/>
    <w:p w14:paraId="2F39A600"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16 sklepa)</w:t>
      </w:r>
    </w:p>
    <w:p w14:paraId="5083E6F4" w14:textId="77777777" w:rsidR="00B0197D" w:rsidRPr="004E2005" w:rsidRDefault="00B0197D" w:rsidP="00B0197D">
      <w:pPr>
        <w:spacing w:before="120" w:line="240" w:lineRule="auto"/>
        <w:rPr>
          <w:rFonts w:cs="Calibri"/>
          <w:color w:val="000000"/>
        </w:rPr>
      </w:pPr>
      <w:r w:rsidRPr="00B0197D">
        <w:rPr>
          <w:rFonts w:cs="Calibri"/>
        </w:rPr>
        <w:t>Preimenovanje</w:t>
      </w:r>
      <w:r w:rsidRPr="004E2005">
        <w:rPr>
          <w:rFonts w:cs="Calibri"/>
          <w:color w:val="000000"/>
        </w:rPr>
        <w:t xml:space="preserve"> digitalnih slušnih aparatov v zahtevne slušne aparate je posledica preimenovanja takega MP v noveli pravil in gre torej za redakcijske spremembe (uskladitev).</w:t>
      </w:r>
    </w:p>
    <w:p w14:paraId="6F40121A" w14:textId="77777777" w:rsidR="00B0197D" w:rsidRPr="008B32DB" w:rsidRDefault="00B0197D" w:rsidP="00B0197D">
      <w:pPr>
        <w:spacing w:before="120" w:line="240" w:lineRule="auto"/>
        <w:rPr>
          <w:rFonts w:cs="Calibri"/>
        </w:rPr>
      </w:pPr>
      <w:r w:rsidRPr="004E2005">
        <w:rPr>
          <w:rFonts w:cs="Calibri"/>
        </w:rPr>
        <w:t>Finančne posledice: Ni finančnih posledic.</w:t>
      </w:r>
    </w:p>
    <w:p w14:paraId="08036C21"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18 sklepa)</w:t>
      </w:r>
    </w:p>
    <w:p w14:paraId="0657EB0F" w14:textId="77777777" w:rsidR="00B0197D" w:rsidRPr="004E2005" w:rsidRDefault="00B0197D" w:rsidP="00B0197D">
      <w:pPr>
        <w:spacing w:before="120" w:line="240" w:lineRule="auto"/>
        <w:rPr>
          <w:rFonts w:cs="Calibri"/>
        </w:rPr>
      </w:pPr>
      <w:r w:rsidRPr="004E2005">
        <w:rPr>
          <w:rFonts w:cs="Calibri"/>
        </w:rPr>
        <w:t xml:space="preserve">V skupini raztopine se </w:t>
      </w:r>
      <w:r w:rsidRPr="004E2005">
        <w:rPr>
          <w:rFonts w:eastAsia="Times New Roman" w:cs="Calibri"/>
          <w:i/>
          <w:iCs/>
        </w:rPr>
        <w:t>gel za zaščito ustne sluznice za 7 dni</w:t>
      </w:r>
      <w:r w:rsidRPr="004E2005">
        <w:rPr>
          <w:rFonts w:eastAsia="Times New Roman" w:cs="Calibri"/>
        </w:rPr>
        <w:t xml:space="preserve"> </w:t>
      </w:r>
      <w:r w:rsidRPr="004E2005">
        <w:rPr>
          <w:rFonts w:cs="Calibri"/>
        </w:rPr>
        <w:t xml:space="preserve">preimenuje v </w:t>
      </w:r>
      <w:r w:rsidRPr="004E2005">
        <w:rPr>
          <w:rFonts w:cs="Calibri"/>
          <w:i/>
          <w:iCs/>
        </w:rPr>
        <w:t xml:space="preserve">MP </w:t>
      </w:r>
      <w:r w:rsidRPr="004E2005">
        <w:rPr>
          <w:rFonts w:eastAsia="Times New Roman" w:cs="Calibri"/>
          <w:i/>
          <w:iCs/>
        </w:rPr>
        <w:t>za zaščito ustne sluznice</w:t>
      </w:r>
      <w:r w:rsidRPr="004E2005">
        <w:rPr>
          <w:rFonts w:cs="Calibri"/>
        </w:rPr>
        <w:t>. Sprememba je redakcijske narave, gre za uskladitev z novelo pravil.</w:t>
      </w:r>
    </w:p>
    <w:p w14:paraId="75E15358" w14:textId="4FD33E0A" w:rsidR="00B0197D" w:rsidRDefault="00B0197D" w:rsidP="00B0197D">
      <w:pPr>
        <w:spacing w:before="120" w:line="240" w:lineRule="auto"/>
        <w:rPr>
          <w:rFonts w:cs="Calibri"/>
        </w:rPr>
      </w:pPr>
      <w:r w:rsidRPr="004E2005">
        <w:rPr>
          <w:rFonts w:cs="Calibri"/>
        </w:rPr>
        <w:lastRenderedPageBreak/>
        <w:t>Obenem se pri istem MP na podlagi dogovora s Stomatološko kliniko UKC Ljubljana kot predlagateljem razširjajo zdravstvena stanja za upravičenost do tega MP, tako da bo do tega MP upravičena tudi zavarovana oseba, pri kateri ne gre za kombinirano zdravljenje področja glave in vratu s kemoterapijo in obsevanjem, temveč gre tudi za (druge) stranske učinke sistemskega zdravljenja in sistemske bolezni z direktnim vplivom na suhost ust. Doslej določen dodatni pogoj, da je oseba hudo ogrožena za vnetja in nastanek nekroz v ustni votlini, ostaja nespremenjen.</w:t>
      </w:r>
    </w:p>
    <w:p w14:paraId="60476050" w14:textId="0CCC1348" w:rsidR="00B0197D" w:rsidRPr="004E2005" w:rsidRDefault="00B0197D" w:rsidP="00B0197D">
      <w:pPr>
        <w:spacing w:before="120" w:line="240" w:lineRule="auto"/>
        <w:rPr>
          <w:rFonts w:cs="Calibri"/>
        </w:rPr>
      </w:pPr>
      <w:r w:rsidRPr="004E2005">
        <w:rPr>
          <w:rFonts w:cs="Calibri"/>
        </w:rPr>
        <w:t>Finančne posledice: Zaradi spremembe zdravstvenih stanj se pričakuje povečanje odhodkov v breme zdravstvenega zavarovanja v skupni višini pribl. 60.000 € letno. Glede na oceno predlagatelja je takšnih bolnikov v Sloveniji pribl. 500. Pri tem je služba zavoda upoštevala, da v povprečju zavarovana oseba potrebuje en kos takega MP mesečno, cena takega MP pa je pribl. 10 €.</w:t>
      </w:r>
    </w:p>
    <w:p w14:paraId="2D46B4F4"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(nova Priloga 20 sklepa)</w:t>
      </w:r>
    </w:p>
    <w:p w14:paraId="0C98D0F5" w14:textId="07B0E456" w:rsidR="00B0197D" w:rsidRPr="004E2005" w:rsidRDefault="00B0197D" w:rsidP="00B0197D">
      <w:pPr>
        <w:spacing w:before="120" w:line="240" w:lineRule="auto"/>
        <w:rPr>
          <w:rFonts w:cs="Calibri"/>
        </w:rPr>
      </w:pPr>
      <w:r w:rsidRPr="004E2005">
        <w:rPr>
          <w:rFonts w:cs="Calibri"/>
        </w:rPr>
        <w:t xml:space="preserve">Na podlagi predloga Pediatrične klinike UKC Ljubljana se poleg dosedanjih </w:t>
      </w:r>
      <w:r w:rsidRPr="004E2005">
        <w:rPr>
          <w:rFonts w:cs="Calibri"/>
          <w:i/>
          <w:iCs/>
        </w:rPr>
        <w:t>brizg za enkratno uporabo 2 ml</w:t>
      </w:r>
      <w:r w:rsidRPr="004E2005">
        <w:rPr>
          <w:rFonts w:cs="Calibri"/>
        </w:rPr>
        <w:t xml:space="preserve"> z enakimi zdravstvenimi stanji in drugimi pogoji doda kot nov MP </w:t>
      </w:r>
      <w:r w:rsidRPr="004E2005">
        <w:rPr>
          <w:rFonts w:cs="Calibri"/>
          <w:i/>
          <w:iCs/>
        </w:rPr>
        <w:t>brizga brez igle 1 ml</w:t>
      </w:r>
      <w:r w:rsidRPr="004E2005">
        <w:rPr>
          <w:rFonts w:cs="Calibri"/>
        </w:rPr>
        <w:t>, saj večje brizge nimajo menzure oz. skale, da bi si bolniki natančno aplicirali zdravilo, ki ga morajo skrbno in natančno (na 0,1 ml) odmerjati glede na kg telesne teže</w:t>
      </w:r>
      <w:r>
        <w:rPr>
          <w:rFonts w:cs="Calibri"/>
        </w:rPr>
        <w:t>.</w:t>
      </w:r>
    </w:p>
    <w:p w14:paraId="5D94F216" w14:textId="7F9E131D" w:rsidR="00B0197D" w:rsidRPr="004E2005" w:rsidRDefault="00B0197D" w:rsidP="00B0197D">
      <w:pPr>
        <w:spacing w:before="120" w:line="240" w:lineRule="auto"/>
        <w:rPr>
          <w:rFonts w:cs="Calibri"/>
        </w:rPr>
      </w:pPr>
      <w:r w:rsidRPr="004E2005">
        <w:rPr>
          <w:rFonts w:cs="Calibri"/>
        </w:rPr>
        <w:t>Finančne posledice</w:t>
      </w:r>
      <w:r w:rsidRPr="004E2005">
        <w:rPr>
          <w:rFonts w:eastAsiaTheme="minorHAnsi" w:cs="Calibri"/>
          <w:color w:val="000000"/>
        </w:rPr>
        <w:t xml:space="preserve">: </w:t>
      </w:r>
      <w:r w:rsidRPr="004E2005">
        <w:rPr>
          <w:rFonts w:cs="Calibri"/>
        </w:rPr>
        <w:t>Ocenjuje se, da se bo na letni ravni izdalo 1.080 teh brizg, po predvidenem cenovnem standardu 0,16 €, kar pomeni povečanje odhodkov iz zdravstvenega zavarovanja 2.592 € letno. Ocenjuje se, da bo takih oseb 15 letno.</w:t>
      </w:r>
    </w:p>
    <w:p w14:paraId="361820D7"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 xml:space="preserve">(začetek </w:t>
      </w:r>
      <w:r>
        <w:rPr>
          <w:rFonts w:cs="Calibri"/>
          <w:b/>
          <w:shd w:val="clear" w:color="auto" w:fill="FFFFFF"/>
        </w:rPr>
        <w:t xml:space="preserve">in podaljšanje </w:t>
      </w:r>
      <w:r w:rsidRPr="004E2005">
        <w:rPr>
          <w:rFonts w:cs="Calibri"/>
          <w:b/>
          <w:bCs/>
        </w:rPr>
        <w:t>uporabe)</w:t>
      </w:r>
    </w:p>
    <w:p w14:paraId="56B0B2B1" w14:textId="77777777" w:rsidR="00B0197D" w:rsidRPr="004E2005" w:rsidRDefault="00B0197D" w:rsidP="00B0197D">
      <w:pPr>
        <w:tabs>
          <w:tab w:val="clear" w:pos="5670"/>
        </w:tabs>
        <w:spacing w:before="120" w:line="240" w:lineRule="auto"/>
        <w:rPr>
          <w:rFonts w:cs="Calibri"/>
        </w:rPr>
      </w:pPr>
      <w:r w:rsidRPr="004E2005">
        <w:rPr>
          <w:rFonts w:cs="Calibri"/>
        </w:rPr>
        <w:t>Določbe glede spremembe stanj in drugih pogojev pri akumulatorju</w:t>
      </w:r>
      <w:r>
        <w:rPr>
          <w:rFonts w:cs="Calibri"/>
        </w:rPr>
        <w:t>,</w:t>
      </w:r>
      <w:r w:rsidRPr="004E2005">
        <w:rPr>
          <w:rFonts w:cs="Calibri"/>
        </w:rPr>
        <w:t xml:space="preserve"> MP </w:t>
      </w:r>
      <w:r w:rsidRPr="004E2005">
        <w:rPr>
          <w:rFonts w:cs="Calibri"/>
          <w:lang w:eastAsia="sl-SI"/>
        </w:rPr>
        <w:t>pri sladkorni bolezni</w:t>
      </w:r>
      <w:r>
        <w:rPr>
          <w:rFonts w:cs="Calibri"/>
          <w:lang w:eastAsia="sl-SI"/>
        </w:rPr>
        <w:t xml:space="preserve"> in MP za zaščito ustne sluznice</w:t>
      </w:r>
      <w:r w:rsidRPr="004E2005">
        <w:rPr>
          <w:rFonts w:cs="Calibri"/>
        </w:rPr>
        <w:t xml:space="preserve"> se začnejo uporabljati 1. oktobra 2024, kar je v skladu z začetkom uporabe sprememb in dopolnitev pravil glede MP, ki se bodo za </w:t>
      </w:r>
      <w:proofErr w:type="gramStart"/>
      <w:r w:rsidRPr="004E2005">
        <w:rPr>
          <w:rFonts w:cs="Calibri"/>
        </w:rPr>
        <w:t>posamezne MP</w:t>
      </w:r>
      <w:proofErr w:type="gramEnd"/>
      <w:r w:rsidRPr="004E2005">
        <w:rPr>
          <w:rFonts w:cs="Calibri"/>
        </w:rPr>
        <w:t xml:space="preserve"> začele uporabljati sočasno s to novelo sklepa.</w:t>
      </w:r>
    </w:p>
    <w:p w14:paraId="53C4214B" w14:textId="77777777" w:rsidR="00B0197D" w:rsidRPr="004E2005" w:rsidRDefault="00B0197D" w:rsidP="00B0197D">
      <w:pPr>
        <w:pStyle w:val="Odstavek"/>
        <w:spacing w:before="120"/>
        <w:ind w:firstLine="0"/>
        <w:rPr>
          <w:rFonts w:ascii="Calibri" w:eastAsia="Calibri" w:hAnsi="Calibri" w:cs="Calibri"/>
        </w:rPr>
      </w:pPr>
      <w:r w:rsidRPr="004E2005">
        <w:rPr>
          <w:rFonts w:ascii="Calibri" w:hAnsi="Calibri" w:cs="Calibri"/>
        </w:rPr>
        <w:t xml:space="preserve">Finančne posledice: </w:t>
      </w:r>
      <w:r w:rsidRPr="004E2005">
        <w:rPr>
          <w:rFonts w:ascii="Calibri" w:eastAsia="Calibri" w:hAnsi="Calibri" w:cs="Calibri"/>
        </w:rPr>
        <w:t>Ni finančnih posledic.</w:t>
      </w:r>
    </w:p>
    <w:p w14:paraId="263E10CA" w14:textId="77777777" w:rsidR="00B0197D" w:rsidRPr="004E2005" w:rsidRDefault="00B0197D" w:rsidP="00B0197D">
      <w:pPr>
        <w:pStyle w:val="Odstavekseznama"/>
        <w:numPr>
          <w:ilvl w:val="0"/>
          <w:numId w:val="2"/>
        </w:numPr>
        <w:tabs>
          <w:tab w:val="clear" w:pos="5670"/>
          <w:tab w:val="left" w:pos="1134"/>
        </w:tabs>
        <w:spacing w:before="240" w:line="240" w:lineRule="auto"/>
        <w:ind w:left="357" w:hanging="357"/>
        <w:contextualSpacing w:val="0"/>
        <w:rPr>
          <w:rFonts w:cs="Calibri"/>
          <w:b/>
          <w:bCs/>
        </w:rPr>
      </w:pPr>
      <w:r w:rsidRPr="004E2005">
        <w:rPr>
          <w:rFonts w:cs="Calibri"/>
          <w:b/>
          <w:bCs/>
        </w:rPr>
        <w:t>(začetek veljavnosti</w:t>
      </w:r>
      <w:r>
        <w:rPr>
          <w:rFonts w:cs="Calibri"/>
          <w:b/>
          <w:bCs/>
        </w:rPr>
        <w:t xml:space="preserve"> in uporabe</w:t>
      </w:r>
      <w:r w:rsidRPr="004E2005">
        <w:rPr>
          <w:rFonts w:cs="Calibri"/>
          <w:b/>
          <w:bCs/>
        </w:rPr>
        <w:t>)</w:t>
      </w:r>
    </w:p>
    <w:p w14:paraId="3616E75B" w14:textId="63B1A346" w:rsidR="00B0197D" w:rsidRPr="004E2005" w:rsidRDefault="00B0197D" w:rsidP="00B0197D">
      <w:pPr>
        <w:tabs>
          <w:tab w:val="clear" w:pos="5670"/>
        </w:tabs>
        <w:spacing w:before="120" w:line="240" w:lineRule="auto"/>
        <w:rPr>
          <w:rFonts w:cs="Calibri"/>
        </w:rPr>
      </w:pPr>
      <w:r w:rsidRPr="004E2005">
        <w:rPr>
          <w:rFonts w:cs="Calibri"/>
        </w:rPr>
        <w:t xml:space="preserve">Novela sklepa začne veljati </w:t>
      </w:r>
      <w:r>
        <w:rPr>
          <w:rFonts w:cs="Calibri"/>
        </w:rPr>
        <w:t>osmi</w:t>
      </w:r>
      <w:r w:rsidRPr="004E2005">
        <w:rPr>
          <w:rFonts w:cs="Calibri"/>
        </w:rPr>
        <w:t xml:space="preserve"> dan od objave v Uradnem listu RS, uporabljati pa se začne 1.</w:t>
      </w:r>
      <w:r>
        <w:rPr>
          <w:rFonts w:cs="Calibri"/>
        </w:rPr>
        <w:t> </w:t>
      </w:r>
      <w:r w:rsidRPr="004E2005">
        <w:rPr>
          <w:rFonts w:cs="Calibri"/>
        </w:rPr>
        <w:t>januarja</w:t>
      </w:r>
      <w:r>
        <w:rPr>
          <w:rFonts w:cs="Calibri"/>
        </w:rPr>
        <w:t> </w:t>
      </w:r>
      <w:r w:rsidRPr="004E2005">
        <w:rPr>
          <w:rFonts w:cs="Calibri"/>
        </w:rPr>
        <w:t>2024, istočasno kot novela pravil.</w:t>
      </w:r>
    </w:p>
    <w:p w14:paraId="151BD7F7" w14:textId="4B7A6BB0" w:rsidR="00E7123D" w:rsidRDefault="00B0197D" w:rsidP="00B0197D">
      <w:pPr>
        <w:pStyle w:val="Odstavek"/>
        <w:spacing w:before="120"/>
        <w:ind w:firstLine="0"/>
        <w:rPr>
          <w:rFonts w:asciiTheme="minorHAnsi" w:hAnsiTheme="minorHAnsi"/>
        </w:rPr>
      </w:pPr>
      <w:r w:rsidRPr="004E2005">
        <w:rPr>
          <w:rFonts w:ascii="Calibri" w:hAnsi="Calibri" w:cs="Calibri"/>
        </w:rPr>
        <w:t xml:space="preserve">Finančne posledice: </w:t>
      </w:r>
      <w:r w:rsidRPr="004E2005">
        <w:rPr>
          <w:rFonts w:ascii="Calibri" w:eastAsia="Calibri" w:hAnsi="Calibri" w:cs="Calibri"/>
        </w:rPr>
        <w:t>Ni finančnih posledic.</w:t>
      </w:r>
    </w:p>
    <w:sectPr w:rsidR="00E7123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1AAE" w14:textId="77777777" w:rsidR="007852C5" w:rsidRDefault="007852C5" w:rsidP="007852C5">
      <w:pPr>
        <w:spacing w:line="240" w:lineRule="auto"/>
      </w:pPr>
      <w:r>
        <w:separator/>
      </w:r>
    </w:p>
  </w:endnote>
  <w:endnote w:type="continuationSeparator" w:id="0">
    <w:p w14:paraId="70389E4C" w14:textId="77777777" w:rsidR="007852C5" w:rsidRDefault="007852C5" w:rsidP="00785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99252081"/>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8DD68E6" w14:textId="6F8F15A1" w:rsidR="007852C5" w:rsidRPr="007852C5" w:rsidRDefault="007852C5">
            <w:pPr>
              <w:pStyle w:val="Noga"/>
              <w:jc w:val="right"/>
              <w:rPr>
                <w:sz w:val="16"/>
                <w:szCs w:val="16"/>
              </w:rPr>
            </w:pPr>
            <w:r w:rsidRPr="007852C5">
              <w:rPr>
                <w:sz w:val="16"/>
                <w:szCs w:val="16"/>
              </w:rPr>
              <w:t xml:space="preserve">Stran </w:t>
            </w:r>
            <w:r w:rsidRPr="007852C5">
              <w:rPr>
                <w:b/>
                <w:bCs/>
                <w:sz w:val="16"/>
                <w:szCs w:val="16"/>
              </w:rPr>
              <w:fldChar w:fldCharType="begin"/>
            </w:r>
            <w:r w:rsidRPr="007852C5">
              <w:rPr>
                <w:b/>
                <w:bCs/>
                <w:sz w:val="16"/>
                <w:szCs w:val="16"/>
              </w:rPr>
              <w:instrText>PAGE</w:instrText>
            </w:r>
            <w:r w:rsidRPr="007852C5">
              <w:rPr>
                <w:b/>
                <w:bCs/>
                <w:sz w:val="16"/>
                <w:szCs w:val="16"/>
              </w:rPr>
              <w:fldChar w:fldCharType="separate"/>
            </w:r>
            <w:r w:rsidRPr="007852C5">
              <w:rPr>
                <w:b/>
                <w:bCs/>
                <w:sz w:val="16"/>
                <w:szCs w:val="16"/>
              </w:rPr>
              <w:t>2</w:t>
            </w:r>
            <w:r w:rsidRPr="007852C5">
              <w:rPr>
                <w:b/>
                <w:bCs/>
                <w:sz w:val="16"/>
                <w:szCs w:val="16"/>
              </w:rPr>
              <w:fldChar w:fldCharType="end"/>
            </w:r>
            <w:r w:rsidRPr="007852C5">
              <w:rPr>
                <w:sz w:val="16"/>
                <w:szCs w:val="16"/>
              </w:rPr>
              <w:t xml:space="preserve"> od </w:t>
            </w:r>
            <w:r w:rsidRPr="007852C5">
              <w:rPr>
                <w:b/>
                <w:bCs/>
                <w:sz w:val="16"/>
                <w:szCs w:val="16"/>
              </w:rPr>
              <w:fldChar w:fldCharType="begin"/>
            </w:r>
            <w:r w:rsidRPr="007852C5">
              <w:rPr>
                <w:b/>
                <w:bCs/>
                <w:sz w:val="16"/>
                <w:szCs w:val="16"/>
              </w:rPr>
              <w:instrText>NUMPAGES</w:instrText>
            </w:r>
            <w:r w:rsidRPr="007852C5">
              <w:rPr>
                <w:b/>
                <w:bCs/>
                <w:sz w:val="16"/>
                <w:szCs w:val="16"/>
              </w:rPr>
              <w:fldChar w:fldCharType="separate"/>
            </w:r>
            <w:r w:rsidRPr="007852C5">
              <w:rPr>
                <w:b/>
                <w:bCs/>
                <w:sz w:val="16"/>
                <w:szCs w:val="16"/>
              </w:rPr>
              <w:t>2</w:t>
            </w:r>
            <w:r w:rsidRPr="007852C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91DD" w14:textId="77777777" w:rsidR="007852C5" w:rsidRDefault="007852C5" w:rsidP="007852C5">
      <w:pPr>
        <w:spacing w:line="240" w:lineRule="auto"/>
      </w:pPr>
      <w:r>
        <w:separator/>
      </w:r>
    </w:p>
  </w:footnote>
  <w:footnote w:type="continuationSeparator" w:id="0">
    <w:p w14:paraId="73F49B53" w14:textId="77777777" w:rsidR="007852C5" w:rsidRDefault="007852C5" w:rsidP="007852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CD2"/>
    <w:multiLevelType w:val="hybridMultilevel"/>
    <w:tmpl w:val="889AEC6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6A7565A"/>
    <w:multiLevelType w:val="hybridMultilevel"/>
    <w:tmpl w:val="279C10B4"/>
    <w:lvl w:ilvl="0" w:tplc="89BED648">
      <w:start w:val="3"/>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7D770F4"/>
    <w:multiLevelType w:val="hybridMultilevel"/>
    <w:tmpl w:val="5C84CF72"/>
    <w:lvl w:ilvl="0" w:tplc="E080164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62397206"/>
    <w:multiLevelType w:val="hybridMultilevel"/>
    <w:tmpl w:val="61FC9F78"/>
    <w:lvl w:ilvl="0" w:tplc="D43CB4C2">
      <w:start w:val="1"/>
      <w:numFmt w:val="decimal"/>
      <w:lvlText w:val="K %1. členu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6BA15A2D"/>
    <w:multiLevelType w:val="hybridMultilevel"/>
    <w:tmpl w:val="07EAD600"/>
    <w:lvl w:ilvl="0" w:tplc="89BED648">
      <w:start w:val="3"/>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19975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89758">
    <w:abstractNumId w:val="3"/>
  </w:num>
  <w:num w:numId="3" w16cid:durableId="550502462">
    <w:abstractNumId w:val="4"/>
  </w:num>
  <w:num w:numId="4" w16cid:durableId="1911455652">
    <w:abstractNumId w:val="1"/>
  </w:num>
  <w:num w:numId="5" w16cid:durableId="294140288">
    <w:abstractNumId w:val="0"/>
  </w:num>
  <w:num w:numId="6" w16cid:durableId="1507516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B"/>
    <w:rsid w:val="000754D4"/>
    <w:rsid w:val="001A3838"/>
    <w:rsid w:val="001D7220"/>
    <w:rsid w:val="004421CB"/>
    <w:rsid w:val="00446508"/>
    <w:rsid w:val="00690F9D"/>
    <w:rsid w:val="006A0F56"/>
    <w:rsid w:val="006E685D"/>
    <w:rsid w:val="007852C5"/>
    <w:rsid w:val="00927E68"/>
    <w:rsid w:val="00B0197D"/>
    <w:rsid w:val="00E7123D"/>
    <w:rsid w:val="00F34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1BC7"/>
  <w15:chartTrackingRefBased/>
  <w15:docId w15:val="{AFFACA55-1FD7-4ADD-8404-BECDC088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421CB"/>
    <w:pPr>
      <w:tabs>
        <w:tab w:val="left" w:pos="5670"/>
      </w:tabs>
      <w:spacing w:after="0" w:line="240" w:lineRule="exact"/>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nhideWhenUsed/>
    <w:rsid w:val="004421CB"/>
    <w:pPr>
      <w:tabs>
        <w:tab w:val="clear" w:pos="5670"/>
      </w:tabs>
      <w:spacing w:line="240" w:lineRule="auto"/>
      <w:jc w:val="left"/>
    </w:pPr>
    <w:rPr>
      <w:rFonts w:ascii="Times New Roman" w:eastAsia="Times New Roman" w:hAnsi="Times New Roman"/>
      <w:sz w:val="20"/>
      <w:szCs w:val="20"/>
      <w:lang w:eastAsia="sl-SI"/>
    </w:rPr>
  </w:style>
  <w:style w:type="character" w:customStyle="1" w:styleId="Sprotnaopomba-besediloZnak">
    <w:name w:val="Sprotna opomba - besedilo Znak"/>
    <w:basedOn w:val="Privzetapisavaodstavka"/>
    <w:link w:val="Sprotnaopomba-besedilo"/>
    <w:rsid w:val="004421CB"/>
    <w:rPr>
      <w:rFonts w:ascii="Times New Roman" w:eastAsia="Times New Roman" w:hAnsi="Times New Roman" w:cs="Times New Roman"/>
      <w:sz w:val="20"/>
      <w:szCs w:val="20"/>
      <w:lang w:eastAsia="sl-SI"/>
    </w:rPr>
  </w:style>
  <w:style w:type="character" w:customStyle="1" w:styleId="BrezrazmikovZnak">
    <w:name w:val="Brez razmikov Znak"/>
    <w:link w:val="Brezrazmikov"/>
    <w:uiPriority w:val="1"/>
    <w:locked/>
    <w:rsid w:val="004421CB"/>
    <w:rPr>
      <w:rFonts w:ascii="Times New Roman" w:eastAsia="Times New Roman" w:hAnsi="Times New Roman" w:cs="Times New Roman"/>
      <w:sz w:val="18"/>
      <w:lang w:eastAsia="sl-SI"/>
    </w:rPr>
  </w:style>
  <w:style w:type="paragraph" w:styleId="Brezrazmikov">
    <w:name w:val="No Spacing"/>
    <w:link w:val="BrezrazmikovZnak"/>
    <w:uiPriority w:val="1"/>
    <w:qFormat/>
    <w:rsid w:val="004421CB"/>
    <w:pPr>
      <w:spacing w:after="0" w:line="240" w:lineRule="auto"/>
      <w:jc w:val="both"/>
    </w:pPr>
    <w:rPr>
      <w:rFonts w:ascii="Times New Roman" w:eastAsia="Times New Roman" w:hAnsi="Times New Roman" w:cs="Times New Roman"/>
      <w:sz w:val="18"/>
      <w:lang w:eastAsia="sl-SI"/>
    </w:rPr>
  </w:style>
  <w:style w:type="paragraph" w:customStyle="1" w:styleId="len">
    <w:name w:val="len"/>
    <w:basedOn w:val="Navaden"/>
    <w:rsid w:val="004421CB"/>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poglavje">
    <w:name w:val="poglavje"/>
    <w:basedOn w:val="Navaden"/>
    <w:rsid w:val="004421CB"/>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paragraph" w:styleId="Glava">
    <w:name w:val="header"/>
    <w:basedOn w:val="Navaden"/>
    <w:link w:val="GlavaZnak"/>
    <w:uiPriority w:val="99"/>
    <w:unhideWhenUsed/>
    <w:rsid w:val="007852C5"/>
    <w:pPr>
      <w:tabs>
        <w:tab w:val="clear" w:pos="5670"/>
        <w:tab w:val="center" w:pos="4536"/>
        <w:tab w:val="right" w:pos="9072"/>
      </w:tabs>
      <w:spacing w:line="240" w:lineRule="auto"/>
    </w:pPr>
  </w:style>
  <w:style w:type="character" w:customStyle="1" w:styleId="GlavaZnak">
    <w:name w:val="Glava Znak"/>
    <w:basedOn w:val="Privzetapisavaodstavka"/>
    <w:link w:val="Glava"/>
    <w:uiPriority w:val="99"/>
    <w:rsid w:val="007852C5"/>
    <w:rPr>
      <w:rFonts w:ascii="Calibri" w:eastAsia="Calibri" w:hAnsi="Calibri" w:cs="Times New Roman"/>
    </w:rPr>
  </w:style>
  <w:style w:type="paragraph" w:styleId="Noga">
    <w:name w:val="footer"/>
    <w:basedOn w:val="Navaden"/>
    <w:link w:val="NogaZnak"/>
    <w:uiPriority w:val="99"/>
    <w:unhideWhenUsed/>
    <w:rsid w:val="007852C5"/>
    <w:pPr>
      <w:tabs>
        <w:tab w:val="clear" w:pos="5670"/>
        <w:tab w:val="center" w:pos="4536"/>
        <w:tab w:val="right" w:pos="9072"/>
      </w:tabs>
      <w:spacing w:line="240" w:lineRule="auto"/>
    </w:pPr>
  </w:style>
  <w:style w:type="character" w:customStyle="1" w:styleId="NogaZnak">
    <w:name w:val="Noga Znak"/>
    <w:basedOn w:val="Privzetapisavaodstavka"/>
    <w:link w:val="Noga"/>
    <w:uiPriority w:val="99"/>
    <w:rsid w:val="007852C5"/>
    <w:rPr>
      <w:rFonts w:ascii="Calibri" w:eastAsia="Calibri" w:hAnsi="Calibri" w:cs="Times New Roman"/>
    </w:rPr>
  </w:style>
  <w:style w:type="paragraph" w:styleId="Odstavekseznama">
    <w:name w:val="List Paragraph"/>
    <w:basedOn w:val="Navaden"/>
    <w:uiPriority w:val="34"/>
    <w:qFormat/>
    <w:rsid w:val="00B0197D"/>
    <w:pPr>
      <w:ind w:left="720"/>
      <w:contextualSpacing/>
    </w:pPr>
  </w:style>
  <w:style w:type="paragraph" w:customStyle="1" w:styleId="Odstavek">
    <w:name w:val="Odstavek"/>
    <w:basedOn w:val="Navaden"/>
    <w:link w:val="OdstavekZnak"/>
    <w:qFormat/>
    <w:rsid w:val="00B0197D"/>
    <w:pPr>
      <w:tabs>
        <w:tab w:val="clear" w:pos="5670"/>
      </w:tabs>
      <w:overflowPunct w:val="0"/>
      <w:autoSpaceDE w:val="0"/>
      <w:autoSpaceDN w:val="0"/>
      <w:adjustRightInd w:val="0"/>
      <w:spacing w:before="240" w:line="240" w:lineRule="auto"/>
      <w:ind w:firstLine="1021"/>
      <w:textAlignment w:val="baseline"/>
    </w:pPr>
    <w:rPr>
      <w:rFonts w:ascii="Arial" w:eastAsia="Times New Roman" w:hAnsi="Arial"/>
    </w:rPr>
  </w:style>
  <w:style w:type="character" w:customStyle="1" w:styleId="OdstavekZnak">
    <w:name w:val="Odstavek Znak"/>
    <w:link w:val="Odstavek"/>
    <w:rsid w:val="00B0197D"/>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3613" TargetMode="External"/><Relationship Id="rId13" Type="http://schemas.openxmlformats.org/officeDocument/2006/relationships/hyperlink" Target="https://www.iusinfo.si/zakonodaja/rs-61-1241-2021" TargetMode="External"/><Relationship Id="rId3" Type="http://schemas.openxmlformats.org/officeDocument/2006/relationships/settings" Target="settings.xml"/><Relationship Id="rId7" Type="http://schemas.openxmlformats.org/officeDocument/2006/relationships/hyperlink" Target="http://www.uradni-list.si/1/objava.jsp?sop=2021-01-2989" TargetMode="External"/><Relationship Id="rId12" Type="http://schemas.openxmlformats.org/officeDocument/2006/relationships/hyperlink" Target="https://www.iusinfo.si/zakonodaja/rs-61-1241-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22-01-42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22-01-3482" TargetMode="External"/><Relationship Id="rId4" Type="http://schemas.openxmlformats.org/officeDocument/2006/relationships/webSettings" Target="webSettings.xml"/><Relationship Id="rId9" Type="http://schemas.openxmlformats.org/officeDocument/2006/relationships/hyperlink" Target="http://www.uradni-list.si/1/objava.jsp?sop=2021-01-3898"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1828</Words>
  <Characters>10426</Characters>
  <Application>Microsoft Office Word</Application>
  <DocSecurity>0</DocSecurity>
  <Lines>86</Lines>
  <Paragraphs>24</Paragraphs>
  <ScaleCrop>false</ScaleCrop>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POPMP</dc:creator>
  <cp:keywords/>
  <dc:description/>
  <cp:lastModifiedBy>Damjan Kos</cp:lastModifiedBy>
  <cp:revision>2</cp:revision>
  <dcterms:created xsi:type="dcterms:W3CDTF">2023-12-18T08:53:00Z</dcterms:created>
  <dcterms:modified xsi:type="dcterms:W3CDTF">2023-12-18T08:53:00Z</dcterms:modified>
</cp:coreProperties>
</file>