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DE085" w14:textId="294A88E2" w:rsidR="00A35B71" w:rsidRPr="005A1AA0" w:rsidRDefault="0030642F" w:rsidP="0030642F">
      <w:pPr>
        <w:pStyle w:val="Telobesedila1"/>
        <w:spacing w:line="240" w:lineRule="auto"/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SPOROČILO ZA JAVNOST!</w:t>
      </w:r>
    </w:p>
    <w:p w14:paraId="1DB0BA90" w14:textId="5FA60DD9" w:rsidR="00A35B71" w:rsidRDefault="00A35B71" w:rsidP="00EB67D2"/>
    <w:p w14:paraId="006E2A8F" w14:textId="77777777" w:rsidR="0030642F" w:rsidRDefault="0030642F" w:rsidP="00EB67D2"/>
    <w:p w14:paraId="5BC4987B" w14:textId="6863452D" w:rsidR="00D47C14" w:rsidRPr="0030642F" w:rsidRDefault="00D47C14" w:rsidP="0030642F">
      <w:pPr>
        <w:tabs>
          <w:tab w:val="clear" w:pos="5670"/>
        </w:tabs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30642F">
        <w:rPr>
          <w:rFonts w:asciiTheme="minorHAnsi" w:hAnsiTheme="minorHAnsi" w:cstheme="minorHAnsi"/>
          <w:b/>
          <w:bCs/>
          <w:sz w:val="28"/>
          <w:szCs w:val="28"/>
        </w:rPr>
        <w:t>Upravni odbor ZZZS sprejel sklep o r</w:t>
      </w:r>
      <w:r w:rsidRPr="0030642F">
        <w:rPr>
          <w:rFonts w:asciiTheme="minorHAnsi" w:hAnsiTheme="minorHAnsi"/>
          <w:b/>
          <w:bCs/>
          <w:sz w:val="28"/>
          <w:szCs w:val="28"/>
        </w:rPr>
        <w:t>azpis</w:t>
      </w:r>
      <w:r w:rsidR="0030642F" w:rsidRPr="0030642F">
        <w:rPr>
          <w:rFonts w:asciiTheme="minorHAnsi" w:hAnsiTheme="minorHAnsi"/>
          <w:b/>
          <w:bCs/>
          <w:sz w:val="28"/>
          <w:szCs w:val="28"/>
        </w:rPr>
        <w:t>u</w:t>
      </w:r>
      <w:r w:rsidRPr="0030642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C5101">
        <w:rPr>
          <w:rFonts w:asciiTheme="minorHAnsi" w:hAnsiTheme="minorHAnsi"/>
          <w:b/>
          <w:bCs/>
          <w:sz w:val="28"/>
          <w:szCs w:val="28"/>
        </w:rPr>
        <w:t xml:space="preserve">in javnem pozivu za boljšo dostopnost do </w:t>
      </w:r>
      <w:r w:rsidRPr="0030642F">
        <w:rPr>
          <w:rFonts w:asciiTheme="minorHAnsi" w:hAnsiTheme="minorHAnsi"/>
          <w:b/>
          <w:bCs/>
          <w:sz w:val="28"/>
          <w:szCs w:val="28"/>
        </w:rPr>
        <w:t xml:space="preserve">programov zdravstvenih storitev </w:t>
      </w:r>
      <w:r w:rsidR="007C5101">
        <w:rPr>
          <w:rFonts w:asciiTheme="minorHAnsi" w:hAnsiTheme="minorHAnsi"/>
          <w:b/>
          <w:bCs/>
          <w:sz w:val="28"/>
          <w:szCs w:val="28"/>
        </w:rPr>
        <w:t>in za boljšo dostopnost do izbranega osebnega zdravnika v letu 2022</w:t>
      </w:r>
    </w:p>
    <w:p w14:paraId="201A8E76" w14:textId="77777777" w:rsidR="00D47C14" w:rsidRDefault="00D47C14" w:rsidP="00D47C14">
      <w:pPr>
        <w:autoSpaceDE w:val="0"/>
        <w:autoSpaceDN w:val="0"/>
        <w:adjustRightInd w:val="0"/>
        <w:rPr>
          <w:rFonts w:asciiTheme="minorHAnsi" w:hAnsiTheme="minorHAnsi" w:cs="Arial"/>
          <w:b/>
          <w:color w:val="000000"/>
          <w:sz w:val="24"/>
          <w:szCs w:val="24"/>
        </w:rPr>
      </w:pPr>
    </w:p>
    <w:p w14:paraId="35D80E4C" w14:textId="4140BE65" w:rsidR="00D47C14" w:rsidRPr="00A52EC9" w:rsidRDefault="00D47C14" w:rsidP="00D47C14">
      <w:pPr>
        <w:autoSpaceDE w:val="0"/>
        <w:autoSpaceDN w:val="0"/>
        <w:adjustRightInd w:val="0"/>
        <w:rPr>
          <w:rFonts w:cs="Calibri"/>
          <w:b/>
          <w:bCs/>
        </w:rPr>
      </w:pPr>
      <w:r w:rsidRPr="00A52EC9">
        <w:rPr>
          <w:rFonts w:cs="Calibri"/>
          <w:b/>
        </w:rPr>
        <w:t xml:space="preserve">Ljubljana, </w:t>
      </w:r>
      <w:r w:rsidR="007C5101" w:rsidRPr="00A52EC9">
        <w:rPr>
          <w:rFonts w:cs="Calibri"/>
          <w:b/>
        </w:rPr>
        <w:t>27</w:t>
      </w:r>
      <w:r w:rsidRPr="00A52EC9">
        <w:rPr>
          <w:rFonts w:cs="Calibri"/>
          <w:b/>
        </w:rPr>
        <w:t xml:space="preserve">. </w:t>
      </w:r>
      <w:r w:rsidR="007C5101" w:rsidRPr="00A52EC9">
        <w:rPr>
          <w:rFonts w:cs="Calibri"/>
          <w:b/>
        </w:rPr>
        <w:t>1</w:t>
      </w:r>
      <w:r w:rsidRPr="00A52EC9">
        <w:rPr>
          <w:rFonts w:cs="Calibri"/>
          <w:b/>
        </w:rPr>
        <w:t>. 20</w:t>
      </w:r>
      <w:r w:rsidR="007C5101" w:rsidRPr="00A52EC9">
        <w:rPr>
          <w:rFonts w:cs="Calibri"/>
          <w:b/>
        </w:rPr>
        <w:t>22</w:t>
      </w:r>
      <w:r w:rsidRPr="00A52EC9">
        <w:rPr>
          <w:rFonts w:cs="Calibri"/>
          <w:b/>
        </w:rPr>
        <w:t xml:space="preserve"> - Upravni odbor Zavoda za zdravstveno zavarovanje Slovenije </w:t>
      </w:r>
      <w:r w:rsidRPr="00A52EC9">
        <w:rPr>
          <w:rFonts w:cs="Calibri"/>
          <w:b/>
          <w:bCs/>
        </w:rPr>
        <w:t xml:space="preserve">(v nadaljevanju: ZZZS) je danes na svoji redni seji sprejel </w:t>
      </w:r>
      <w:r w:rsidR="000F701E" w:rsidRPr="00A52EC9">
        <w:rPr>
          <w:rFonts w:cs="Calibri"/>
          <w:b/>
          <w:bCs/>
        </w:rPr>
        <w:t>S</w:t>
      </w:r>
      <w:r w:rsidRPr="00A52EC9">
        <w:rPr>
          <w:rFonts w:cs="Calibri"/>
          <w:b/>
          <w:bCs/>
        </w:rPr>
        <w:t>klep o razpisu za sklepanje pogodb za opravljanje program</w:t>
      </w:r>
      <w:r w:rsidR="007C5101" w:rsidRPr="00A52EC9">
        <w:rPr>
          <w:rFonts w:cs="Calibri"/>
          <w:b/>
          <w:bCs/>
        </w:rPr>
        <w:t>a</w:t>
      </w:r>
      <w:r w:rsidRPr="00A52EC9">
        <w:rPr>
          <w:rFonts w:cs="Calibri"/>
          <w:b/>
          <w:bCs/>
        </w:rPr>
        <w:t xml:space="preserve"> zdravstvenih storitev v letu 20</w:t>
      </w:r>
      <w:r w:rsidR="007C5101" w:rsidRPr="00A52EC9">
        <w:rPr>
          <w:rFonts w:cs="Calibri"/>
          <w:b/>
          <w:bCs/>
        </w:rPr>
        <w:t xml:space="preserve">22 ter </w:t>
      </w:r>
      <w:r w:rsidR="000F701E" w:rsidRPr="00A52EC9">
        <w:rPr>
          <w:rFonts w:cs="Calibri"/>
          <w:b/>
          <w:bCs/>
        </w:rPr>
        <w:t>S</w:t>
      </w:r>
      <w:r w:rsidR="007C5101" w:rsidRPr="00A52EC9">
        <w:rPr>
          <w:rFonts w:cs="Calibri"/>
          <w:b/>
        </w:rPr>
        <w:t>k</w:t>
      </w:r>
      <w:r w:rsidR="007C5101" w:rsidRPr="00A52EC9">
        <w:rPr>
          <w:rFonts w:cs="Calibri"/>
          <w:b/>
          <w:lang w:eastAsia="x-none"/>
        </w:rPr>
        <w:t>lep o javnem pozivu izvajalcem splošne ambulante oz. ambulante družinske medicine ter otroških in šolskih dispanzerjev za prevzem programa ambulante za boljšo dostopnost do izbranega osebnega zdravnika</w:t>
      </w:r>
      <w:r w:rsidR="00D4519F" w:rsidRPr="00A52EC9">
        <w:rPr>
          <w:rFonts w:cs="Calibri"/>
          <w:b/>
          <w:lang w:eastAsia="x-none"/>
        </w:rPr>
        <w:t xml:space="preserve">. </w:t>
      </w:r>
      <w:r w:rsidRPr="00A52EC9">
        <w:rPr>
          <w:rFonts w:cs="Calibri"/>
          <w:b/>
          <w:bCs/>
        </w:rPr>
        <w:t xml:space="preserve">Razpis </w:t>
      </w:r>
      <w:r w:rsidR="007C5101" w:rsidRPr="00A52EC9">
        <w:rPr>
          <w:rFonts w:cs="Calibri"/>
          <w:b/>
          <w:bCs/>
        </w:rPr>
        <w:t xml:space="preserve">in javni poziv </w:t>
      </w:r>
      <w:r w:rsidRPr="00A52EC9">
        <w:rPr>
          <w:rFonts w:cs="Calibri"/>
          <w:b/>
          <w:bCs/>
        </w:rPr>
        <w:t>bo</w:t>
      </w:r>
      <w:r w:rsidR="007C5101" w:rsidRPr="00A52EC9">
        <w:rPr>
          <w:rFonts w:cs="Calibri"/>
          <w:b/>
          <w:bCs/>
        </w:rPr>
        <w:t>sta</w:t>
      </w:r>
      <w:r w:rsidRPr="00A52EC9">
        <w:rPr>
          <w:rFonts w:cs="Calibri"/>
          <w:b/>
          <w:bCs/>
        </w:rPr>
        <w:t xml:space="preserve"> objavljen</w:t>
      </w:r>
      <w:r w:rsidR="007C5101" w:rsidRPr="00A52EC9">
        <w:rPr>
          <w:rFonts w:cs="Calibri"/>
          <w:b/>
          <w:bCs/>
        </w:rPr>
        <w:t>a</w:t>
      </w:r>
      <w:r w:rsidRPr="00A52EC9">
        <w:rPr>
          <w:rFonts w:cs="Calibri"/>
          <w:b/>
          <w:bCs/>
        </w:rPr>
        <w:t xml:space="preserve"> na spletni strani ZZZS</w:t>
      </w:r>
      <w:r w:rsidR="00914A92" w:rsidRPr="00A52EC9">
        <w:rPr>
          <w:rFonts w:cs="Calibri"/>
          <w:b/>
          <w:bCs/>
        </w:rPr>
        <w:t xml:space="preserve"> v petek,</w:t>
      </w:r>
      <w:r w:rsidRPr="00A52EC9">
        <w:rPr>
          <w:rFonts w:cs="Calibri"/>
          <w:b/>
          <w:bCs/>
        </w:rPr>
        <w:t xml:space="preserve"> 2</w:t>
      </w:r>
      <w:r w:rsidR="007C5101" w:rsidRPr="00A52EC9">
        <w:rPr>
          <w:rFonts w:cs="Calibri"/>
          <w:b/>
          <w:bCs/>
        </w:rPr>
        <w:t>8</w:t>
      </w:r>
      <w:r w:rsidRPr="00A52EC9">
        <w:rPr>
          <w:rFonts w:cs="Calibri"/>
          <w:b/>
          <w:bCs/>
        </w:rPr>
        <w:t xml:space="preserve">. </w:t>
      </w:r>
      <w:r w:rsidR="007C5101" w:rsidRPr="00A52EC9">
        <w:rPr>
          <w:rFonts w:cs="Calibri"/>
          <w:b/>
          <w:bCs/>
        </w:rPr>
        <w:t>januarja</w:t>
      </w:r>
      <w:r w:rsidRPr="00A52EC9">
        <w:rPr>
          <w:rFonts w:cs="Calibri"/>
          <w:b/>
          <w:bCs/>
        </w:rPr>
        <w:t xml:space="preserve"> 20</w:t>
      </w:r>
      <w:r w:rsidR="007C5101" w:rsidRPr="00A52EC9">
        <w:rPr>
          <w:rFonts w:cs="Calibri"/>
          <w:b/>
          <w:bCs/>
        </w:rPr>
        <w:t>22</w:t>
      </w:r>
      <w:r w:rsidR="00CC0E7F" w:rsidRPr="00A52EC9">
        <w:rPr>
          <w:rFonts w:cs="Calibri"/>
          <w:b/>
          <w:bCs/>
        </w:rPr>
        <w:t>. Razpis je med</w:t>
      </w:r>
      <w:r w:rsidRPr="00A52EC9">
        <w:rPr>
          <w:rFonts w:cs="Calibri"/>
          <w:b/>
          <w:bCs/>
        </w:rPr>
        <w:t xml:space="preserve"> drugim namenjen tudi prijavam za programe dodatnih </w:t>
      </w:r>
      <w:r w:rsidR="00CC0E7F" w:rsidRPr="00A52EC9">
        <w:rPr>
          <w:rFonts w:cs="Calibri"/>
          <w:b/>
          <w:bCs/>
        </w:rPr>
        <w:t>13,94</w:t>
      </w:r>
      <w:r w:rsidRPr="00A52EC9">
        <w:rPr>
          <w:rFonts w:cs="Calibri"/>
          <w:b/>
          <w:bCs/>
        </w:rPr>
        <w:t xml:space="preserve"> splošnih ambulant/družinske medicine in dodatnih </w:t>
      </w:r>
      <w:r w:rsidR="007E14F2">
        <w:rPr>
          <w:rFonts w:cs="Calibri"/>
          <w:b/>
          <w:bCs/>
        </w:rPr>
        <w:t>9</w:t>
      </w:r>
      <w:r w:rsidR="00CC0E7F" w:rsidRPr="00A52EC9">
        <w:rPr>
          <w:rFonts w:cs="Calibri"/>
          <w:b/>
          <w:bCs/>
        </w:rPr>
        <w:t>,</w:t>
      </w:r>
      <w:r w:rsidR="007E14F2">
        <w:rPr>
          <w:rFonts w:cs="Calibri"/>
          <w:b/>
          <w:bCs/>
        </w:rPr>
        <w:t>5</w:t>
      </w:r>
      <w:r w:rsidR="00CC0E7F" w:rsidRPr="00A52EC9">
        <w:rPr>
          <w:rFonts w:cs="Calibri"/>
          <w:b/>
          <w:bCs/>
        </w:rPr>
        <w:t>2</w:t>
      </w:r>
      <w:r w:rsidRPr="00A52EC9">
        <w:rPr>
          <w:rFonts w:cs="Calibri"/>
          <w:b/>
          <w:bCs/>
        </w:rPr>
        <w:t xml:space="preserve"> otroških ter šolskih dispanzerjev, </w:t>
      </w:r>
      <w:r w:rsidR="00CC0E7F" w:rsidRPr="00A52EC9">
        <w:rPr>
          <w:rFonts w:cs="Calibri"/>
          <w:b/>
          <w:bCs/>
        </w:rPr>
        <w:t xml:space="preserve">javni poziv pa za dodatni program za ambulante za boljšo dostopnost do izbranega osebnega zdravnika v obsegu 57 splošnih ambulant/družinske medicine ter 7,6 otroških ter šolskih dispanzerjev. </w:t>
      </w:r>
      <w:r w:rsidR="00E52AD0" w:rsidRPr="00A52EC9">
        <w:rPr>
          <w:rFonts w:cs="Calibri"/>
          <w:b/>
          <w:bCs/>
        </w:rPr>
        <w:t>Za te programe bo</w:t>
      </w:r>
      <w:r w:rsidRPr="00A52EC9">
        <w:rPr>
          <w:rFonts w:cs="Calibri"/>
          <w:b/>
          <w:bCs/>
        </w:rPr>
        <w:t xml:space="preserve"> namenjenih dodatnih </w:t>
      </w:r>
      <w:r w:rsidR="00E52AD0" w:rsidRPr="00A52EC9">
        <w:rPr>
          <w:rFonts w:cs="Calibri"/>
          <w:b/>
          <w:bCs/>
        </w:rPr>
        <w:t>13,1</w:t>
      </w:r>
      <w:r w:rsidRPr="00A52EC9">
        <w:rPr>
          <w:rFonts w:cs="Calibri"/>
          <w:b/>
          <w:bCs/>
        </w:rPr>
        <w:t xml:space="preserve"> milijona evrov letno. S ciljem čimprejšnje</w:t>
      </w:r>
      <w:r w:rsidR="007C5101" w:rsidRPr="00A52EC9">
        <w:rPr>
          <w:rFonts w:cs="Calibri"/>
          <w:b/>
          <w:bCs/>
        </w:rPr>
        <w:t>ga izboljšanja dostopnosti do programov zdravstvenih storitev</w:t>
      </w:r>
      <w:r w:rsidRPr="00A52EC9">
        <w:rPr>
          <w:rFonts w:cs="Calibri"/>
          <w:b/>
          <w:bCs/>
        </w:rPr>
        <w:t xml:space="preserve"> je </w:t>
      </w:r>
      <w:r w:rsidR="00661C48" w:rsidRPr="00A52EC9">
        <w:rPr>
          <w:rFonts w:cs="Calibri"/>
          <w:b/>
          <w:bCs/>
        </w:rPr>
        <w:t xml:space="preserve">rok iz javnega poziva za prijavo na programe že </w:t>
      </w:r>
      <w:r w:rsidR="00661C48">
        <w:rPr>
          <w:rFonts w:cs="Calibri"/>
          <w:b/>
          <w:bCs/>
        </w:rPr>
        <w:t>9</w:t>
      </w:r>
      <w:r w:rsidR="00661C48" w:rsidRPr="00A52EC9">
        <w:rPr>
          <w:rFonts w:cs="Calibri"/>
          <w:b/>
          <w:bCs/>
        </w:rPr>
        <w:t>. feburuar 2022 oziroma se bo rok za prijavo za programe podaljšal do oddaje neoddanega programa, vendar ne kasneje kot do 31.12.2022</w:t>
      </w:r>
      <w:r w:rsidR="00661C48">
        <w:rPr>
          <w:rFonts w:cs="Calibri"/>
          <w:b/>
          <w:bCs/>
        </w:rPr>
        <w:t xml:space="preserve">. </w:t>
      </w:r>
      <w:r w:rsidR="00323624">
        <w:rPr>
          <w:rFonts w:cs="Calibri"/>
          <w:b/>
          <w:bCs/>
        </w:rPr>
        <w:t>R</w:t>
      </w:r>
      <w:r w:rsidRPr="00A52EC9">
        <w:rPr>
          <w:rFonts w:cs="Calibri"/>
          <w:b/>
          <w:bCs/>
        </w:rPr>
        <w:t xml:space="preserve">ok za prijavo na programe </w:t>
      </w:r>
      <w:r w:rsidR="00323624">
        <w:rPr>
          <w:rFonts w:cs="Calibri"/>
          <w:b/>
          <w:bCs/>
        </w:rPr>
        <w:t xml:space="preserve">iz razpisa </w:t>
      </w:r>
      <w:r w:rsidR="00661C48">
        <w:rPr>
          <w:rFonts w:cs="Calibri"/>
          <w:b/>
          <w:bCs/>
        </w:rPr>
        <w:t xml:space="preserve">pa je </w:t>
      </w:r>
      <w:r w:rsidR="007C5101" w:rsidRPr="00A52EC9">
        <w:rPr>
          <w:rFonts w:cs="Calibri"/>
          <w:b/>
          <w:bCs/>
        </w:rPr>
        <w:t>28</w:t>
      </w:r>
      <w:r w:rsidRPr="00A52EC9">
        <w:rPr>
          <w:rFonts w:cs="Calibri"/>
          <w:b/>
          <w:bCs/>
        </w:rPr>
        <w:t xml:space="preserve">. </w:t>
      </w:r>
      <w:r w:rsidR="007C5101" w:rsidRPr="00A52EC9">
        <w:rPr>
          <w:rFonts w:cs="Calibri"/>
          <w:b/>
          <w:bCs/>
        </w:rPr>
        <w:t>feburuar 2</w:t>
      </w:r>
      <w:r w:rsidRPr="00A52EC9">
        <w:rPr>
          <w:rFonts w:cs="Calibri"/>
          <w:b/>
          <w:bCs/>
        </w:rPr>
        <w:t>0</w:t>
      </w:r>
      <w:r w:rsidR="007C5101" w:rsidRPr="00A52EC9">
        <w:rPr>
          <w:rFonts w:cs="Calibri"/>
          <w:b/>
          <w:bCs/>
        </w:rPr>
        <w:t>22</w:t>
      </w:r>
      <w:r w:rsidRPr="00A52EC9">
        <w:rPr>
          <w:rFonts w:cs="Calibri"/>
          <w:b/>
          <w:bCs/>
        </w:rPr>
        <w:t xml:space="preserve"> oziroma se bo rok za prijavo za programe </w:t>
      </w:r>
      <w:r w:rsidR="00D4519F" w:rsidRPr="00A52EC9">
        <w:rPr>
          <w:rFonts w:cs="Calibri"/>
          <w:b/>
          <w:bCs/>
        </w:rPr>
        <w:t>p</w:t>
      </w:r>
      <w:r w:rsidRPr="00A52EC9">
        <w:rPr>
          <w:rFonts w:cs="Calibri"/>
          <w:b/>
          <w:bCs/>
        </w:rPr>
        <w:t>odaljšal do oddaje neoddanega programa, vendar ne kasneje kot do 31.12.20</w:t>
      </w:r>
      <w:r w:rsidR="007C5101" w:rsidRPr="00A52EC9">
        <w:rPr>
          <w:rFonts w:cs="Calibri"/>
          <w:b/>
          <w:bCs/>
        </w:rPr>
        <w:t>22</w:t>
      </w:r>
      <w:r w:rsidRPr="00A52EC9">
        <w:rPr>
          <w:rFonts w:cs="Calibri"/>
          <w:b/>
          <w:bCs/>
        </w:rPr>
        <w:t xml:space="preserve">.   </w:t>
      </w:r>
    </w:p>
    <w:p w14:paraId="3CA953C0" w14:textId="77777777" w:rsidR="00D47C14" w:rsidRPr="00A52EC9" w:rsidRDefault="00D47C14" w:rsidP="00D47C14">
      <w:pPr>
        <w:autoSpaceDE w:val="0"/>
        <w:autoSpaceDN w:val="0"/>
        <w:adjustRightInd w:val="0"/>
        <w:rPr>
          <w:rFonts w:cs="Calibri"/>
          <w:b/>
          <w:bCs/>
        </w:rPr>
      </w:pPr>
    </w:p>
    <w:p w14:paraId="46FEB3EF" w14:textId="6CAEB67F" w:rsidR="00D47C14" w:rsidRPr="00A52EC9" w:rsidRDefault="00D47C14" w:rsidP="00D47C14">
      <w:pPr>
        <w:autoSpaceDE w:val="0"/>
        <w:autoSpaceDN w:val="0"/>
        <w:adjustRightInd w:val="0"/>
        <w:rPr>
          <w:rFonts w:cs="Calibri"/>
        </w:rPr>
      </w:pPr>
      <w:r w:rsidRPr="00A52EC9">
        <w:rPr>
          <w:rFonts w:cs="Calibri"/>
        </w:rPr>
        <w:t xml:space="preserve">ZZZS bo </w:t>
      </w:r>
      <w:r w:rsidR="00323624">
        <w:rPr>
          <w:rFonts w:cs="Calibri"/>
        </w:rPr>
        <w:t xml:space="preserve">zato jutri, </w:t>
      </w:r>
      <w:r w:rsidRPr="00A52EC9">
        <w:rPr>
          <w:rFonts w:cs="Calibri"/>
        </w:rPr>
        <w:t>2</w:t>
      </w:r>
      <w:r w:rsidR="007C5101" w:rsidRPr="00A52EC9">
        <w:rPr>
          <w:rFonts w:cs="Calibri"/>
        </w:rPr>
        <w:t>8</w:t>
      </w:r>
      <w:r w:rsidRPr="00A52EC9">
        <w:rPr>
          <w:rFonts w:cs="Calibri"/>
        </w:rPr>
        <w:t xml:space="preserve">. </w:t>
      </w:r>
      <w:r w:rsidR="007C5101" w:rsidRPr="00A52EC9">
        <w:rPr>
          <w:rFonts w:cs="Calibri"/>
        </w:rPr>
        <w:t>januarja</w:t>
      </w:r>
      <w:r w:rsidRPr="00A52EC9">
        <w:rPr>
          <w:rFonts w:cs="Calibri"/>
        </w:rPr>
        <w:t xml:space="preserve"> 20</w:t>
      </w:r>
      <w:r w:rsidR="007C5101" w:rsidRPr="00A52EC9">
        <w:rPr>
          <w:rFonts w:cs="Calibri"/>
        </w:rPr>
        <w:t>22</w:t>
      </w:r>
      <w:r w:rsidRPr="00A52EC9">
        <w:rPr>
          <w:rFonts w:cs="Calibri"/>
        </w:rPr>
        <w:t xml:space="preserve"> na svoji spletni strani objavil </w:t>
      </w:r>
      <w:r w:rsidRPr="00A52EC9">
        <w:rPr>
          <w:rFonts w:cs="Calibri"/>
          <w:b/>
          <w:bCs/>
        </w:rPr>
        <w:t>Sklep o razpisu za sklepanje pogodb za opravljanje program</w:t>
      </w:r>
      <w:r w:rsidR="00A23B6D" w:rsidRPr="00A52EC9">
        <w:rPr>
          <w:rFonts w:cs="Calibri"/>
          <w:b/>
          <w:bCs/>
        </w:rPr>
        <w:t>a</w:t>
      </w:r>
      <w:r w:rsidRPr="00A52EC9">
        <w:rPr>
          <w:rFonts w:cs="Calibri"/>
          <w:b/>
          <w:bCs/>
        </w:rPr>
        <w:t xml:space="preserve"> zdravstvenih storitev</w:t>
      </w:r>
      <w:r w:rsidR="00A23B6D" w:rsidRPr="00A52EC9">
        <w:rPr>
          <w:rFonts w:cs="Calibri"/>
          <w:b/>
          <w:bCs/>
        </w:rPr>
        <w:t xml:space="preserve"> v obveznem zdravstvenem zavarovanju</w:t>
      </w:r>
      <w:r w:rsidRPr="00A52EC9">
        <w:rPr>
          <w:rFonts w:cs="Calibri"/>
        </w:rPr>
        <w:t>. Razpis zajema naslednje dejavnosti:</w:t>
      </w:r>
    </w:p>
    <w:p w14:paraId="00E3F63D" w14:textId="77777777" w:rsidR="00A23B6D" w:rsidRPr="00A52EC9" w:rsidRDefault="00A23B6D" w:rsidP="00A23B6D">
      <w:pPr>
        <w:pStyle w:val="Odstavekseznama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  <w:lang w:eastAsia="x-none"/>
        </w:rPr>
      </w:pPr>
      <w:r w:rsidRPr="00A52EC9">
        <w:rPr>
          <w:rFonts w:ascii="Calibri" w:hAnsi="Calibri" w:cs="Calibri"/>
          <w:sz w:val="22"/>
          <w:szCs w:val="22"/>
          <w:lang w:eastAsia="x-none"/>
        </w:rPr>
        <w:t>splošno in dispanzerske dejavnosti;</w:t>
      </w:r>
    </w:p>
    <w:p w14:paraId="446A3E41" w14:textId="77777777" w:rsidR="00A23B6D" w:rsidRPr="00A52EC9" w:rsidRDefault="00A23B6D" w:rsidP="00A23B6D">
      <w:pPr>
        <w:pStyle w:val="Odstavekseznama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  <w:lang w:eastAsia="x-none"/>
        </w:rPr>
      </w:pPr>
      <w:r w:rsidRPr="00A52EC9">
        <w:rPr>
          <w:rFonts w:ascii="Calibri" w:hAnsi="Calibri" w:cs="Calibri"/>
          <w:sz w:val="22"/>
          <w:szCs w:val="22"/>
          <w:lang w:eastAsia="x-none"/>
        </w:rPr>
        <w:t>zobozdravstvene dejavnosti;</w:t>
      </w:r>
    </w:p>
    <w:p w14:paraId="3AE31104" w14:textId="77777777" w:rsidR="00A23B6D" w:rsidRPr="00A52EC9" w:rsidRDefault="00A23B6D" w:rsidP="00A23B6D">
      <w:pPr>
        <w:pStyle w:val="Odstavekseznama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  <w:lang w:eastAsia="x-none"/>
        </w:rPr>
      </w:pPr>
      <w:r w:rsidRPr="00A52EC9">
        <w:rPr>
          <w:rFonts w:ascii="Calibri" w:hAnsi="Calibri" w:cs="Calibri"/>
          <w:sz w:val="22"/>
          <w:szCs w:val="22"/>
          <w:lang w:eastAsia="x-none"/>
        </w:rPr>
        <w:t>dejavnost reševalne službe in nujne medicinske pomoči;</w:t>
      </w:r>
    </w:p>
    <w:p w14:paraId="34109DBF" w14:textId="77777777" w:rsidR="00A23B6D" w:rsidRPr="00A52EC9" w:rsidRDefault="00A23B6D" w:rsidP="00A23B6D">
      <w:pPr>
        <w:pStyle w:val="Odstavekseznama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  <w:lang w:eastAsia="x-none"/>
        </w:rPr>
      </w:pPr>
      <w:r w:rsidRPr="00A52EC9">
        <w:rPr>
          <w:rFonts w:ascii="Calibri" w:hAnsi="Calibri" w:cs="Calibri"/>
          <w:sz w:val="22"/>
          <w:szCs w:val="22"/>
          <w:lang w:eastAsia="x-none"/>
        </w:rPr>
        <w:t>specialistične ambulantne dejavnosti in dejavnost dializ;</w:t>
      </w:r>
    </w:p>
    <w:p w14:paraId="7C807350" w14:textId="77777777" w:rsidR="00A23B6D" w:rsidRPr="00A52EC9" w:rsidRDefault="00A23B6D" w:rsidP="00A23B6D">
      <w:pPr>
        <w:pStyle w:val="Odstavekseznama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  <w:lang w:eastAsia="x-none"/>
        </w:rPr>
      </w:pPr>
      <w:r w:rsidRPr="00A52EC9">
        <w:rPr>
          <w:rFonts w:ascii="Calibri" w:hAnsi="Calibri" w:cs="Calibri"/>
          <w:sz w:val="22"/>
          <w:szCs w:val="22"/>
          <w:lang w:eastAsia="x-none"/>
        </w:rPr>
        <w:t>specialistične bolnišnične dejavnosti;</w:t>
      </w:r>
    </w:p>
    <w:p w14:paraId="66D4B67A" w14:textId="77777777" w:rsidR="00A23B6D" w:rsidRPr="00A52EC9" w:rsidRDefault="00A23B6D" w:rsidP="00A23B6D">
      <w:pPr>
        <w:pStyle w:val="Odstavekseznama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  <w:lang w:eastAsia="x-none"/>
        </w:rPr>
      </w:pPr>
      <w:r w:rsidRPr="00A52EC9">
        <w:rPr>
          <w:rFonts w:ascii="Calibri" w:hAnsi="Calibri" w:cs="Calibri"/>
          <w:sz w:val="22"/>
          <w:szCs w:val="22"/>
          <w:lang w:eastAsia="x-none"/>
        </w:rPr>
        <w:t>zdraviliško zdravstveno dejavnost;</w:t>
      </w:r>
    </w:p>
    <w:p w14:paraId="09694E40" w14:textId="77777777" w:rsidR="00A23B6D" w:rsidRPr="00A52EC9" w:rsidRDefault="00A23B6D" w:rsidP="00A23B6D">
      <w:pPr>
        <w:pStyle w:val="Odstavekseznama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  <w:lang w:eastAsia="x-none"/>
        </w:rPr>
      </w:pPr>
      <w:r w:rsidRPr="00A52EC9">
        <w:rPr>
          <w:rFonts w:ascii="Calibri" w:hAnsi="Calibri" w:cs="Calibri"/>
          <w:sz w:val="22"/>
          <w:szCs w:val="22"/>
          <w:lang w:eastAsia="x-none"/>
        </w:rPr>
        <w:t>lekarniško dejavnost;</w:t>
      </w:r>
    </w:p>
    <w:p w14:paraId="27EB9E41" w14:textId="77777777" w:rsidR="00A23B6D" w:rsidRPr="00A52EC9" w:rsidRDefault="00A23B6D" w:rsidP="00A23B6D">
      <w:pPr>
        <w:pStyle w:val="Odstavekseznama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  <w:lang w:eastAsia="x-none"/>
        </w:rPr>
      </w:pPr>
      <w:r w:rsidRPr="00A52EC9">
        <w:rPr>
          <w:rFonts w:ascii="Calibri" w:hAnsi="Calibri" w:cs="Calibri"/>
          <w:sz w:val="22"/>
          <w:szCs w:val="22"/>
          <w:lang w:eastAsia="x-none"/>
        </w:rPr>
        <w:t>dejavnost socialnovarstvenih zavodov in zavodov za usposabljanje ter svetovalnih centrov;</w:t>
      </w:r>
    </w:p>
    <w:p w14:paraId="0716E7F2" w14:textId="77777777" w:rsidR="001056D4" w:rsidRPr="00A52EC9" w:rsidRDefault="00A23B6D" w:rsidP="001056D4">
      <w:pPr>
        <w:pStyle w:val="Odstavekseznama"/>
        <w:numPr>
          <w:ilvl w:val="0"/>
          <w:numId w:val="8"/>
        </w:numPr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52EC9">
        <w:rPr>
          <w:rFonts w:ascii="Calibri" w:hAnsi="Calibri" w:cs="Calibri"/>
          <w:sz w:val="22"/>
          <w:szCs w:val="22"/>
          <w:lang w:eastAsia="x-none"/>
        </w:rPr>
        <w:t>dejavnost Nacionalnega inštituta za javno zdravje in Nacionalnega laboratorija za zdravje, okolje in</w:t>
      </w:r>
      <w:r w:rsidRPr="00A52EC9">
        <w:rPr>
          <w:rFonts w:ascii="Calibri" w:hAnsi="Calibri" w:cs="Calibri"/>
          <w:sz w:val="22"/>
          <w:szCs w:val="22"/>
        </w:rPr>
        <w:t xml:space="preserve"> hrano.</w:t>
      </w:r>
    </w:p>
    <w:p w14:paraId="00B7656C" w14:textId="275F1E37" w:rsidR="00A23B6D" w:rsidRPr="00A52EC9" w:rsidRDefault="00A23B6D" w:rsidP="001056D4">
      <w:pPr>
        <w:pStyle w:val="Odstavekseznama"/>
        <w:tabs>
          <w:tab w:val="left" w:pos="426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52EC9">
        <w:rPr>
          <w:rFonts w:ascii="Calibri" w:hAnsi="Calibri" w:cs="Calibri"/>
          <w:sz w:val="22"/>
          <w:szCs w:val="22"/>
          <w:lang w:eastAsia="x-none"/>
        </w:rPr>
        <w:t>Na razpis se lahko prijavijo izvajalci zdravstvenih storitev:</w:t>
      </w:r>
    </w:p>
    <w:p w14:paraId="5C4E9DCC" w14:textId="524D22DB" w:rsidR="00A23B6D" w:rsidRPr="00A52EC9" w:rsidRDefault="00A23B6D" w:rsidP="001056D4">
      <w:pPr>
        <w:pStyle w:val="Odstavekseznama"/>
        <w:numPr>
          <w:ilvl w:val="0"/>
          <w:numId w:val="13"/>
        </w:numPr>
        <w:tabs>
          <w:tab w:val="left" w:pos="851"/>
        </w:tabs>
        <w:spacing w:before="240"/>
        <w:rPr>
          <w:rFonts w:ascii="Calibri" w:hAnsi="Calibri" w:cs="Calibri"/>
          <w:sz w:val="22"/>
          <w:szCs w:val="22"/>
          <w:lang w:eastAsia="x-none"/>
        </w:rPr>
      </w:pPr>
      <w:r w:rsidRPr="00A52EC9">
        <w:rPr>
          <w:rFonts w:ascii="Calibri" w:hAnsi="Calibri" w:cs="Calibri"/>
          <w:sz w:val="22"/>
          <w:szCs w:val="22"/>
          <w:lang w:eastAsia="x-none"/>
        </w:rPr>
        <w:t>ki še nimajo sklenjene pogodbe z Z</w:t>
      </w:r>
      <w:r w:rsidR="00A52EC9">
        <w:rPr>
          <w:rFonts w:ascii="Calibri" w:hAnsi="Calibri" w:cs="Calibri"/>
          <w:sz w:val="22"/>
          <w:szCs w:val="22"/>
          <w:lang w:eastAsia="x-none"/>
        </w:rPr>
        <w:t xml:space="preserve">ZZS </w:t>
      </w:r>
      <w:r w:rsidRPr="00A52EC9">
        <w:rPr>
          <w:rFonts w:ascii="Calibri" w:hAnsi="Calibri" w:cs="Calibri"/>
          <w:sz w:val="22"/>
          <w:szCs w:val="22"/>
          <w:lang w:eastAsia="x-none"/>
        </w:rPr>
        <w:t xml:space="preserve">ali imajo sklenjeno začasno pogodbo, </w:t>
      </w:r>
    </w:p>
    <w:p w14:paraId="3D5744EA" w14:textId="649C53FB" w:rsidR="00A23B6D" w:rsidRPr="00A52EC9" w:rsidRDefault="00A23B6D" w:rsidP="001056D4">
      <w:pPr>
        <w:pStyle w:val="Odstavekseznama"/>
        <w:numPr>
          <w:ilvl w:val="0"/>
          <w:numId w:val="13"/>
        </w:numPr>
        <w:tabs>
          <w:tab w:val="left" w:pos="851"/>
        </w:tabs>
        <w:spacing w:before="240"/>
        <w:rPr>
          <w:rFonts w:ascii="Calibri" w:hAnsi="Calibri" w:cs="Calibri"/>
          <w:sz w:val="22"/>
          <w:szCs w:val="22"/>
          <w:lang w:eastAsia="x-none"/>
        </w:rPr>
      </w:pPr>
      <w:r w:rsidRPr="00A52EC9">
        <w:rPr>
          <w:rFonts w:ascii="Calibri" w:hAnsi="Calibri" w:cs="Calibri"/>
          <w:color w:val="000000" w:themeColor="text1"/>
          <w:sz w:val="22"/>
          <w:szCs w:val="22"/>
          <w:lang w:eastAsia="x-none"/>
        </w:rPr>
        <w:t>ki se prijavljajo za izvajanje programov, za katere je širitev dogovorjena v 24. členu Splošnega dogovora za pogodbeno leto 2022 (v nadaljevanju: Dogovor), vendar izvajalci za izvajanje teh programov niso poimensko navedeni v Dogovoru in za te programe ni navedeno, da razpis izvede Ministrstvo za zdravje.</w:t>
      </w:r>
    </w:p>
    <w:p w14:paraId="24547A0E" w14:textId="42448D29" w:rsidR="00A23B6D" w:rsidRPr="00A52EC9" w:rsidRDefault="00D47C14" w:rsidP="00A23B6D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A52EC9">
        <w:rPr>
          <w:rFonts w:cs="Calibri"/>
          <w:bCs/>
        </w:rPr>
        <w:t xml:space="preserve">Rok za oddajo ponudb je </w:t>
      </w:r>
      <w:r w:rsidR="00A23B6D" w:rsidRPr="00A52EC9">
        <w:rPr>
          <w:rFonts w:cs="Calibri"/>
          <w:bCs/>
        </w:rPr>
        <w:t>28</w:t>
      </w:r>
      <w:r w:rsidRPr="00A52EC9">
        <w:rPr>
          <w:rFonts w:cs="Calibri"/>
          <w:bCs/>
        </w:rPr>
        <w:t xml:space="preserve">. </w:t>
      </w:r>
      <w:r w:rsidR="00A23B6D" w:rsidRPr="00A52EC9">
        <w:rPr>
          <w:rFonts w:cs="Calibri"/>
          <w:bCs/>
        </w:rPr>
        <w:t>2</w:t>
      </w:r>
      <w:r w:rsidRPr="00A52EC9">
        <w:rPr>
          <w:rFonts w:cs="Calibri"/>
          <w:bCs/>
        </w:rPr>
        <w:t>. 20</w:t>
      </w:r>
      <w:r w:rsidR="00A23B6D" w:rsidRPr="00A52EC9">
        <w:rPr>
          <w:rFonts w:cs="Calibri"/>
          <w:bCs/>
        </w:rPr>
        <w:t xml:space="preserve">22 </w:t>
      </w:r>
      <w:r w:rsidRPr="00A52EC9">
        <w:rPr>
          <w:rFonts w:cs="Calibri"/>
          <w:bCs/>
        </w:rPr>
        <w:t xml:space="preserve">oziroma </w:t>
      </w:r>
      <w:r w:rsidR="00A23B6D" w:rsidRPr="00A52EC9">
        <w:rPr>
          <w:rFonts w:cs="Calibri"/>
        </w:rPr>
        <w:t xml:space="preserve">se rok za prijavo na razpis podaljša do oddaje programa prvemu ponudniku, ki bo izpolnjeval pogoje in kriterije za izbiro, vendar ne dlje kot do 31. 12. 2022. V ta namen bo ZZZS sproti na svoji spletni strani objavljal količino neoddanega programa po vrsti programa in lokaciji. </w:t>
      </w:r>
    </w:p>
    <w:p w14:paraId="5C903BD6" w14:textId="77777777" w:rsidR="00A23B6D" w:rsidRPr="00A52EC9" w:rsidRDefault="00A23B6D" w:rsidP="00D47C14">
      <w:pPr>
        <w:autoSpaceDE w:val="0"/>
        <w:autoSpaceDN w:val="0"/>
        <w:adjustRightInd w:val="0"/>
        <w:rPr>
          <w:rFonts w:cs="Calibri"/>
          <w:bCs/>
        </w:rPr>
      </w:pPr>
    </w:p>
    <w:p w14:paraId="56616A0F" w14:textId="77E3C524" w:rsidR="001056D4" w:rsidRPr="00A52EC9" w:rsidRDefault="00A23B6D" w:rsidP="00A23B6D">
      <w:pPr>
        <w:overflowPunct w:val="0"/>
        <w:autoSpaceDE w:val="0"/>
        <w:autoSpaceDN w:val="0"/>
        <w:adjustRightInd w:val="0"/>
        <w:textAlignment w:val="baseline"/>
        <w:rPr>
          <w:rFonts w:cs="Calibri"/>
          <w:lang w:eastAsia="x-none"/>
        </w:rPr>
      </w:pPr>
      <w:r w:rsidRPr="00A52EC9">
        <w:rPr>
          <w:rFonts w:cs="Calibri"/>
          <w:lang w:eastAsia="x-none"/>
        </w:rPr>
        <w:t xml:space="preserve">Predmet razpisa je tudi program splošnih ambulant oziroma ambulant družinske medicine ter otroških in šolskih dispanzerjev za time, ki so bili dogovorjeni v Splošnemu dogovoru za </w:t>
      </w:r>
      <w:r w:rsidRPr="00A52EC9">
        <w:rPr>
          <w:rFonts w:cs="Calibri"/>
          <w:lang w:eastAsia="x-none"/>
        </w:rPr>
        <w:lastRenderedPageBreak/>
        <w:t xml:space="preserve">pogodbeno leto 2021, vendar še niso bili oddani do skrajnega roka za prijavo 31. 12. 2021. Ta </w:t>
      </w:r>
      <w:r w:rsidR="00A52EC9">
        <w:rPr>
          <w:rFonts w:cs="Calibri"/>
          <w:lang w:eastAsia="x-none"/>
        </w:rPr>
        <w:t xml:space="preserve">neoddani </w:t>
      </w:r>
      <w:r w:rsidRPr="00A52EC9">
        <w:rPr>
          <w:rFonts w:cs="Calibri"/>
          <w:lang w:eastAsia="x-none"/>
        </w:rPr>
        <w:t xml:space="preserve">program </w:t>
      </w:r>
      <w:r w:rsidR="00A52EC9">
        <w:rPr>
          <w:rFonts w:cs="Calibri"/>
          <w:lang w:eastAsia="x-none"/>
        </w:rPr>
        <w:t xml:space="preserve">iz leta 2021 </w:t>
      </w:r>
      <w:r w:rsidRPr="00A52EC9">
        <w:rPr>
          <w:rFonts w:cs="Calibri"/>
          <w:lang w:eastAsia="x-none"/>
        </w:rPr>
        <w:t xml:space="preserve">obsega 7,22 tima otroškega in šolskega dispanzerja ter 10,84 tima ambulante družinske medicine. </w:t>
      </w:r>
    </w:p>
    <w:p w14:paraId="3BD50ADD" w14:textId="77777777" w:rsidR="00A52EC9" w:rsidRPr="00A52EC9" w:rsidRDefault="00A52EC9" w:rsidP="00A23B6D">
      <w:pPr>
        <w:overflowPunct w:val="0"/>
        <w:autoSpaceDE w:val="0"/>
        <w:autoSpaceDN w:val="0"/>
        <w:adjustRightInd w:val="0"/>
        <w:textAlignment w:val="baseline"/>
        <w:rPr>
          <w:rFonts w:cs="Calibri"/>
          <w:lang w:eastAsia="x-none"/>
        </w:rPr>
      </w:pPr>
    </w:p>
    <w:p w14:paraId="0790D615" w14:textId="67827EB7" w:rsidR="004A6F67" w:rsidRPr="00A52EC9" w:rsidRDefault="001056D4" w:rsidP="004A6F67">
      <w:pPr>
        <w:autoSpaceDE w:val="0"/>
        <w:autoSpaceDN w:val="0"/>
        <w:adjustRightInd w:val="0"/>
        <w:rPr>
          <w:rFonts w:cs="Calibri"/>
          <w:lang w:eastAsia="x-none"/>
        </w:rPr>
      </w:pPr>
      <w:r w:rsidRPr="00A52EC9">
        <w:rPr>
          <w:rFonts w:cs="Calibri"/>
        </w:rPr>
        <w:t xml:space="preserve">ZZZS bo </w:t>
      </w:r>
      <w:r w:rsidR="00323624">
        <w:rPr>
          <w:rFonts w:cs="Calibri"/>
        </w:rPr>
        <w:t xml:space="preserve">jutri, </w:t>
      </w:r>
      <w:r w:rsidRPr="00A52EC9">
        <w:rPr>
          <w:rFonts w:cs="Calibri"/>
        </w:rPr>
        <w:t xml:space="preserve">28. januarja 2022 na svoji spletni strani objavil tudi </w:t>
      </w:r>
      <w:r w:rsidRPr="00A52EC9">
        <w:rPr>
          <w:rFonts w:cs="Calibri"/>
          <w:b/>
          <w:bCs/>
        </w:rPr>
        <w:t xml:space="preserve">Javni poziv </w:t>
      </w:r>
      <w:r w:rsidRPr="00A52EC9">
        <w:rPr>
          <w:rFonts w:cs="Calibri"/>
          <w:b/>
          <w:lang w:eastAsia="x-none"/>
        </w:rPr>
        <w:t>izvajalcem splošne ambulante/ambulante družinske medicine in otroških in šolskih dispanzerjev za prevzem programa ambulante za boljšo dostopnost do izbranega osebnega zdravnika</w:t>
      </w:r>
      <w:r w:rsidRPr="00A52EC9">
        <w:rPr>
          <w:rFonts w:cs="Calibri"/>
        </w:rPr>
        <w:t xml:space="preserve">. </w:t>
      </w:r>
      <w:r w:rsidRPr="00A52EC9">
        <w:rPr>
          <w:rFonts w:cs="Calibri"/>
          <w:lang w:eastAsia="x-none"/>
        </w:rPr>
        <w:t>Program je namenjen</w:t>
      </w:r>
      <w:r w:rsidRPr="00A52EC9">
        <w:rPr>
          <w:rFonts w:cs="Calibri"/>
        </w:rPr>
        <w:t xml:space="preserve"> zagotovitvi izbranega osebnega zdravnika vsem zavarovanim osebam, ki nimajo izbranega osebnega zdravnika oz. imajo izbranega osebnega zdravnika, ki ni več aktiven.</w:t>
      </w:r>
      <w:r w:rsidR="000F701E" w:rsidRPr="00A52EC9">
        <w:rPr>
          <w:rFonts w:cs="Calibri"/>
        </w:rPr>
        <w:t xml:space="preserve"> </w:t>
      </w:r>
      <w:r w:rsidR="000F701E" w:rsidRPr="00A52EC9">
        <w:rPr>
          <w:rFonts w:cs="Calibri"/>
          <w:lang w:eastAsia="x-none"/>
        </w:rPr>
        <w:t xml:space="preserve">Program je plačan v pavšalu glede na delež glavarinskih količnikov v ambulanti glede na standard iz Priloge 1 k Dogovoru. </w:t>
      </w:r>
      <w:r w:rsidR="004A6F67" w:rsidRPr="00A52EC9">
        <w:rPr>
          <w:rFonts w:cs="Calibri"/>
        </w:rPr>
        <w:t>P</w:t>
      </w:r>
      <w:r w:rsidRPr="00A52EC9">
        <w:rPr>
          <w:rFonts w:cs="Calibri"/>
        </w:rPr>
        <w:t xml:space="preserve">ričetek izvajanja programa je 1. </w:t>
      </w:r>
      <w:r w:rsidR="0057111F">
        <w:rPr>
          <w:rFonts w:cs="Calibri"/>
        </w:rPr>
        <w:t>3</w:t>
      </w:r>
      <w:r w:rsidRPr="00A52EC9">
        <w:rPr>
          <w:rFonts w:cs="Calibri"/>
        </w:rPr>
        <w:t xml:space="preserve">. 2022 oziroma, ko izvajalci izpolnijo pogoje za začetek izvajanja programa. </w:t>
      </w:r>
      <w:r w:rsidR="004A6F67" w:rsidRPr="00A52EC9">
        <w:rPr>
          <w:rFonts w:cs="Calibri"/>
        </w:rPr>
        <w:t>N</w:t>
      </w:r>
      <w:r w:rsidR="004A6F67" w:rsidRPr="00A52EC9">
        <w:rPr>
          <w:rFonts w:cs="Calibri"/>
          <w:lang w:eastAsia="x-none"/>
        </w:rPr>
        <w:t xml:space="preserve">a javni poziv se lahko prijavijo izvajalci zdravstvenih storitev, ki želijo prevzeti program ambulante za večjo dostopnost do izbranega osebnega zdravnika in ki izpolnjujejo pogoje iz javnega poziva. </w:t>
      </w:r>
    </w:p>
    <w:p w14:paraId="14DBA16B" w14:textId="48CC46FC" w:rsidR="004A6F67" w:rsidRPr="00A52EC9" w:rsidRDefault="004A6F67" w:rsidP="004A6F67">
      <w:pPr>
        <w:autoSpaceDE w:val="0"/>
        <w:autoSpaceDN w:val="0"/>
        <w:adjustRightInd w:val="0"/>
        <w:rPr>
          <w:rFonts w:cs="Calibri"/>
          <w:lang w:eastAsia="x-none"/>
        </w:rPr>
      </w:pPr>
    </w:p>
    <w:p w14:paraId="30FA90DB" w14:textId="4D2D5C6C" w:rsidR="004A6F67" w:rsidRPr="00A52EC9" w:rsidRDefault="004A6F67" w:rsidP="004A6F67">
      <w:pPr>
        <w:autoSpaceDE w:val="0"/>
        <w:autoSpaceDN w:val="0"/>
        <w:adjustRightInd w:val="0"/>
        <w:rPr>
          <w:rFonts w:cs="Calibri"/>
          <w:bCs/>
          <w:color w:val="000000"/>
        </w:rPr>
      </w:pPr>
      <w:r w:rsidRPr="00A52EC9">
        <w:rPr>
          <w:rFonts w:cs="Calibri"/>
          <w:bCs/>
        </w:rPr>
        <w:t xml:space="preserve">Rok za oddajo ponudb je </w:t>
      </w:r>
      <w:r w:rsidR="00661C48">
        <w:rPr>
          <w:rFonts w:cs="Calibri"/>
          <w:bCs/>
        </w:rPr>
        <w:t>9</w:t>
      </w:r>
      <w:r w:rsidRPr="00A52EC9">
        <w:rPr>
          <w:rFonts w:cs="Calibri"/>
          <w:bCs/>
        </w:rPr>
        <w:t xml:space="preserve">. 2. 2022 oziroma </w:t>
      </w:r>
      <w:r w:rsidRPr="00A52EC9">
        <w:rPr>
          <w:rFonts w:cs="Calibri"/>
        </w:rPr>
        <w:t xml:space="preserve">se rok za prijavo na javni poziv podaljša do oddaje programa prvemu ponudniku, ki bo izpolnjeval pogoje in kriterije za izbiro, vendar ne dlje kot do 31. 12. 2022. V ta namen bo ZZZS sproti na svoji spletni strani objavljal seznam neoddanega programa. </w:t>
      </w:r>
    </w:p>
    <w:p w14:paraId="122FDE40" w14:textId="77777777" w:rsidR="001056D4" w:rsidRPr="00A52EC9" w:rsidRDefault="001056D4" w:rsidP="001056D4">
      <w:pPr>
        <w:autoSpaceDE w:val="0"/>
        <w:autoSpaceDN w:val="0"/>
        <w:adjustRightInd w:val="0"/>
        <w:rPr>
          <w:rFonts w:cs="Calibri"/>
        </w:rPr>
      </w:pPr>
    </w:p>
    <w:p w14:paraId="433CFC0C" w14:textId="2139201D" w:rsidR="00D47C14" w:rsidRPr="00A52EC9" w:rsidRDefault="004A6F67" w:rsidP="004A6F67">
      <w:pPr>
        <w:autoSpaceDE w:val="0"/>
        <w:autoSpaceDN w:val="0"/>
        <w:adjustRightInd w:val="0"/>
        <w:rPr>
          <w:rFonts w:cs="Calibri"/>
          <w:lang w:eastAsia="x-none"/>
        </w:rPr>
      </w:pPr>
      <w:r w:rsidRPr="00A52EC9">
        <w:rPr>
          <w:rFonts w:cs="Calibri"/>
        </w:rPr>
        <w:t>Javni poziv</w:t>
      </w:r>
      <w:r w:rsidR="001056D4" w:rsidRPr="00A52EC9">
        <w:rPr>
          <w:rFonts w:cs="Calibri"/>
        </w:rPr>
        <w:t xml:space="preserve"> zajema </w:t>
      </w:r>
      <w:r w:rsidRPr="00A52EC9">
        <w:rPr>
          <w:rFonts w:cs="Calibri"/>
        </w:rPr>
        <w:t xml:space="preserve">širitve skladno </w:t>
      </w:r>
      <w:r w:rsidR="00A23B6D" w:rsidRPr="00A52EC9">
        <w:rPr>
          <w:rFonts w:cs="Calibri"/>
          <w:color w:val="000000"/>
        </w:rPr>
        <w:t>z D</w:t>
      </w:r>
      <w:r w:rsidR="00D47C14" w:rsidRPr="00A52EC9">
        <w:rPr>
          <w:rFonts w:cs="Calibri"/>
          <w:color w:val="000000"/>
        </w:rPr>
        <w:t xml:space="preserve">ogovorom v naslednjih izpostavah </w:t>
      </w:r>
      <w:r w:rsidRPr="00A52EC9">
        <w:rPr>
          <w:rFonts w:cs="Calibri"/>
          <w:color w:val="000000"/>
        </w:rPr>
        <w:t xml:space="preserve">in </w:t>
      </w:r>
      <w:r w:rsidR="00D47C14" w:rsidRPr="00A52EC9">
        <w:rPr>
          <w:rFonts w:cs="Calibri"/>
          <w:color w:val="000000"/>
        </w:rPr>
        <w:t xml:space="preserve">v naslednjem obsegu: </w:t>
      </w:r>
    </w:p>
    <w:p w14:paraId="159E2DC8" w14:textId="0D8F72FC" w:rsidR="00D47C14" w:rsidRDefault="00D47C14" w:rsidP="00D47C1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260"/>
        <w:gridCol w:w="2693"/>
        <w:gridCol w:w="709"/>
      </w:tblGrid>
      <w:tr w:rsidR="004A6F67" w:rsidRPr="00A52EC9" w14:paraId="043F0523" w14:textId="77777777" w:rsidTr="00A52EC9">
        <w:trPr>
          <w:trHeight w:val="80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B6471" w14:textId="0FABFD86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902BD" w14:textId="104BB7C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Splošna ambulanta / ambulanta družinske medicine - pavšal za boljšo dostopnost do izbranega osebnega zdravnika</w:t>
            </w:r>
            <w:r w:rsidRPr="00A52EC9">
              <w:rPr>
                <w:rFonts w:asciiTheme="minorHAnsi" w:hAnsiTheme="minorHAnsi" w:cstheme="minorHAnsi"/>
                <w:sz w:val="18"/>
                <w:szCs w:val="18"/>
              </w:rPr>
              <w:br/>
              <w:t>Od 1. 12. 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AF5A2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Izpostave: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0E340B" w14:textId="611CB933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57,00 timov</w:t>
            </w:r>
          </w:p>
        </w:tc>
      </w:tr>
      <w:tr w:rsidR="004A6F67" w:rsidRPr="00A52EC9" w14:paraId="177E4A8E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4CDAF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36E5E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od tega: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DE40A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Celje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23B73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2,30</w:t>
            </w:r>
          </w:p>
        </w:tc>
      </w:tr>
      <w:tr w:rsidR="004A6F67" w:rsidRPr="00A52EC9" w14:paraId="754E085A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EDFD5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DBB2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3C64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Laško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3A46A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0,70</w:t>
            </w:r>
          </w:p>
        </w:tc>
      </w:tr>
      <w:tr w:rsidR="004A6F67" w:rsidRPr="00A52EC9" w14:paraId="594FA624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36486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3E07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41C0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Slovenske Konjice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326DC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0,60</w:t>
            </w:r>
          </w:p>
        </w:tc>
      </w:tr>
      <w:tr w:rsidR="004A6F67" w:rsidRPr="00A52EC9" w14:paraId="6C45F604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587BF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8DF7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25EE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Šentjur pri Celju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FF633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</w:tr>
      <w:tr w:rsidR="004A6F67" w:rsidRPr="00A52EC9" w14:paraId="58BCC76C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BF089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A5FE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BC2B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Šmarje pri Jelšah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A8E9F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0,70</w:t>
            </w:r>
          </w:p>
        </w:tc>
      </w:tr>
      <w:tr w:rsidR="004A6F67" w:rsidRPr="00A52EC9" w14:paraId="1E63A97E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68FA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72A7E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5FE4A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Žalec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9208B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0,80</w:t>
            </w:r>
          </w:p>
        </w:tc>
      </w:tr>
      <w:tr w:rsidR="004A6F67" w:rsidRPr="00A52EC9" w14:paraId="6B05E2D1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A1931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56583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41E0B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Koper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6276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1,20</w:t>
            </w:r>
          </w:p>
        </w:tc>
      </w:tr>
      <w:tr w:rsidR="004A6F67" w:rsidRPr="00A52EC9" w14:paraId="792AD279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B4FA7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B0E2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D8135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Ilirska Bistrica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27D16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0,60</w:t>
            </w:r>
          </w:p>
        </w:tc>
      </w:tr>
      <w:tr w:rsidR="004A6F67" w:rsidRPr="00A52EC9" w14:paraId="0FB7F2CE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6FAD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4CA4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EEEBF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Izola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CD96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</w:tr>
      <w:tr w:rsidR="004A6F67" w:rsidRPr="00A52EC9" w14:paraId="5A6A7C11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A8920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649F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FF2FE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Piran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BBD7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0,70</w:t>
            </w:r>
          </w:p>
        </w:tc>
      </w:tr>
      <w:tr w:rsidR="004A6F67" w:rsidRPr="00A52EC9" w14:paraId="0E73CC2B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8678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191D1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3F22A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Postojna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1D08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0,60</w:t>
            </w:r>
          </w:p>
        </w:tc>
      </w:tr>
      <w:tr w:rsidR="004A6F67" w:rsidRPr="00A52EC9" w14:paraId="696F518A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54CE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2BBD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0E7C0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Sežana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6E6A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1,70</w:t>
            </w:r>
          </w:p>
        </w:tc>
      </w:tr>
      <w:tr w:rsidR="004A6F67" w:rsidRPr="00A52EC9" w14:paraId="0F32219D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1C4F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2E23B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E20E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Krško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E6CA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</w:tr>
      <w:tr w:rsidR="004A6F67" w:rsidRPr="00A52EC9" w14:paraId="64B0F674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02D06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C005E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6F109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Brežice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9CCC5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0,70</w:t>
            </w:r>
          </w:p>
        </w:tc>
      </w:tr>
      <w:tr w:rsidR="004A6F67" w:rsidRPr="00A52EC9" w14:paraId="3EB4FA39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AE48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A00CF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DDA64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Kranj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1C52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2,10</w:t>
            </w:r>
          </w:p>
        </w:tc>
      </w:tr>
      <w:tr w:rsidR="004A6F67" w:rsidRPr="00A52EC9" w14:paraId="768B10F9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042FC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6950F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166A5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Jesenice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BAE11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0,90</w:t>
            </w:r>
          </w:p>
        </w:tc>
      </w:tr>
      <w:tr w:rsidR="004A6F67" w:rsidRPr="00A52EC9" w14:paraId="623E9453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05D6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7B371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BC194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Radovljica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E2834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1,50</w:t>
            </w:r>
          </w:p>
        </w:tc>
      </w:tr>
      <w:tr w:rsidR="004A6F67" w:rsidRPr="00A52EC9" w14:paraId="099D7C23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D145D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2EFF3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C3802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Škofja Loka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D92F1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</w:tr>
      <w:tr w:rsidR="004A6F67" w:rsidRPr="00A52EC9" w14:paraId="69EDF8E5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F353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6A239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5446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Ljubljana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FED1B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13,60</w:t>
            </w:r>
          </w:p>
        </w:tc>
      </w:tr>
      <w:tr w:rsidR="004A6F67" w:rsidRPr="00A52EC9" w14:paraId="57C033A0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6618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9F0D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AAFC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Domžale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69A6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1,10</w:t>
            </w:r>
          </w:p>
        </w:tc>
      </w:tr>
      <w:tr w:rsidR="004A6F67" w:rsidRPr="00A52EC9" w14:paraId="3531C9CD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95C77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D04D1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E999F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Grosuplje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83E7C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1,70</w:t>
            </w:r>
          </w:p>
        </w:tc>
      </w:tr>
      <w:tr w:rsidR="004A6F67" w:rsidRPr="00A52EC9" w14:paraId="77BC8227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9D74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05F21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55B8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Kamnik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B60DD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0,90</w:t>
            </w:r>
          </w:p>
        </w:tc>
      </w:tr>
      <w:tr w:rsidR="004A6F67" w:rsidRPr="00A52EC9" w14:paraId="624F9804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A15D2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3D24F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8034E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Litija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3A2AD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0,70</w:t>
            </w:r>
          </w:p>
        </w:tc>
      </w:tr>
      <w:tr w:rsidR="004A6F67" w:rsidRPr="00A52EC9" w14:paraId="2D480DAF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7CD89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D2D1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871CB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Trbovlje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258BB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0,80</w:t>
            </w:r>
          </w:p>
        </w:tc>
      </w:tr>
      <w:tr w:rsidR="004A6F67" w:rsidRPr="00A52EC9" w14:paraId="57C6E02E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1B928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9116B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0033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Vrhnika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A8590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</w:tr>
      <w:tr w:rsidR="004A6F67" w:rsidRPr="00A52EC9" w14:paraId="31A7BA22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336E8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E0EDD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110C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Maribor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3CE41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5,30</w:t>
            </w:r>
          </w:p>
        </w:tc>
      </w:tr>
      <w:tr w:rsidR="004A6F67" w:rsidRPr="00A52EC9" w14:paraId="56D3A3D2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C864B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899DA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31949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Ptuj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DDE3B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2,60</w:t>
            </w:r>
          </w:p>
        </w:tc>
      </w:tr>
      <w:tr w:rsidR="004A6F67" w:rsidRPr="00A52EC9" w14:paraId="7109269E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A53B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F782A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1B1C9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Slovenska Bistrica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E2D47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0,70</w:t>
            </w:r>
          </w:p>
        </w:tc>
      </w:tr>
      <w:tr w:rsidR="004A6F67" w:rsidRPr="00A52EC9" w14:paraId="2559F517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B7623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FBE35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D882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Murska Sobota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EEA96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</w:tr>
      <w:tr w:rsidR="004A6F67" w:rsidRPr="00A52EC9" w14:paraId="3F572D8A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C3E96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9C20D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66A73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Nova Gorica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B60A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</w:tr>
      <w:tr w:rsidR="004A6F67" w:rsidRPr="00A52EC9" w14:paraId="3777E0DC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AD403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43881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8764C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Ajdovščina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F562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0,70</w:t>
            </w:r>
          </w:p>
        </w:tc>
      </w:tr>
      <w:tr w:rsidR="004A6F67" w:rsidRPr="00A52EC9" w14:paraId="5F708EC2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3596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670EA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6AE68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Tolmin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D86C0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</w:tr>
      <w:tr w:rsidR="004A6F67" w:rsidRPr="00A52EC9" w14:paraId="1D4550A9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9C2A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E27B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D5FD2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Novo mesto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20503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</w:tr>
      <w:tr w:rsidR="004A6F67" w:rsidRPr="00A52EC9" w14:paraId="060602BB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43299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5CAD4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33082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Trebnje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8D10E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0,60</w:t>
            </w:r>
          </w:p>
        </w:tc>
      </w:tr>
      <w:tr w:rsidR="004A6F67" w:rsidRPr="00A52EC9" w14:paraId="37EDABC5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37D60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DA39E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B2C6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Ravne na Koroškem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92F9F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2,50</w:t>
            </w:r>
          </w:p>
        </w:tc>
      </w:tr>
      <w:tr w:rsidR="004A6F67" w:rsidRPr="00A52EC9" w14:paraId="20933BBA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3720B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E2CB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B5492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Radlje ob Dravi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8422E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</w:tr>
      <w:tr w:rsidR="004A6F67" w:rsidRPr="00A52EC9" w14:paraId="1BFA2DE2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706EB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13E03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4CE5B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Slovenj Gradec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D6E06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0,80</w:t>
            </w:r>
          </w:p>
        </w:tc>
      </w:tr>
      <w:tr w:rsidR="004A6F67" w:rsidRPr="00A52EC9" w14:paraId="4980E9E3" w14:textId="77777777" w:rsidTr="00A52EC9">
        <w:trPr>
          <w:trHeight w:val="21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EF37E" w14:textId="77777777" w:rsidR="004A6F67" w:rsidRPr="00A52EC9" w:rsidRDefault="004A6F67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120D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13810" w14:textId="77777777" w:rsidR="004A6F67" w:rsidRPr="00A52EC9" w:rsidRDefault="004A6F67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Velenje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0B89E" w14:textId="77777777" w:rsidR="004A6F67" w:rsidRPr="00A52EC9" w:rsidRDefault="004A6F67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2,90</w:t>
            </w:r>
          </w:p>
        </w:tc>
      </w:tr>
    </w:tbl>
    <w:p w14:paraId="533AE18C" w14:textId="14EB93F3" w:rsidR="004A6F67" w:rsidRPr="00A52EC9" w:rsidRDefault="004A6F67" w:rsidP="00D47C1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18"/>
          <w:szCs w:val="18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3164"/>
        <w:gridCol w:w="2693"/>
        <w:gridCol w:w="709"/>
      </w:tblGrid>
      <w:tr w:rsidR="000F701E" w:rsidRPr="00A52EC9" w14:paraId="1FB3A7DB" w14:textId="77777777" w:rsidTr="00A52EC9">
        <w:trPr>
          <w:trHeight w:val="437"/>
          <w:jc w:val="center"/>
        </w:trPr>
        <w:tc>
          <w:tcPr>
            <w:tcW w:w="517" w:type="dxa"/>
            <w:shd w:val="clear" w:color="000000" w:fill="FFFFFF"/>
            <w:hideMark/>
          </w:tcPr>
          <w:p w14:paraId="414D2497" w14:textId="30FE1397" w:rsidR="000F701E" w:rsidRPr="00A52EC9" w:rsidRDefault="000F701E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164" w:type="dxa"/>
            <w:shd w:val="clear" w:color="000000" w:fill="FFFFFF"/>
            <w:hideMark/>
          </w:tcPr>
          <w:p w14:paraId="47817957" w14:textId="14882C91" w:rsidR="000F701E" w:rsidRPr="00A52EC9" w:rsidRDefault="000F701E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Otroški in šolski dispanzer - kurativa - pavšal za boljšo dostopnost do izbranega osebnega zdravnika</w:t>
            </w:r>
            <w:r w:rsidRPr="00A52EC9">
              <w:rPr>
                <w:rFonts w:asciiTheme="minorHAnsi" w:hAnsiTheme="minorHAnsi" w:cstheme="minorHAnsi"/>
                <w:sz w:val="18"/>
                <w:szCs w:val="18"/>
              </w:rPr>
              <w:br/>
              <w:t>Od 1. 12. 2021</w:t>
            </w:r>
          </w:p>
        </w:tc>
        <w:tc>
          <w:tcPr>
            <w:tcW w:w="2693" w:type="dxa"/>
            <w:shd w:val="clear" w:color="000000" w:fill="FFFFFF"/>
            <w:vAlign w:val="bottom"/>
            <w:hideMark/>
          </w:tcPr>
          <w:p w14:paraId="4D18D931" w14:textId="77777777" w:rsidR="000F701E" w:rsidRPr="00A52EC9" w:rsidRDefault="000F701E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Izpostave:</w:t>
            </w:r>
          </w:p>
        </w:tc>
        <w:tc>
          <w:tcPr>
            <w:tcW w:w="709" w:type="dxa"/>
            <w:shd w:val="clear" w:color="000000" w:fill="FFFFFF"/>
            <w:hideMark/>
          </w:tcPr>
          <w:p w14:paraId="4D511DCB" w14:textId="59B94546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7,60 timov</w:t>
            </w:r>
          </w:p>
        </w:tc>
      </w:tr>
      <w:tr w:rsidR="000F701E" w:rsidRPr="00A52EC9" w14:paraId="7EC570D5" w14:textId="77777777" w:rsidTr="00A52EC9">
        <w:trPr>
          <w:trHeight w:val="210"/>
          <w:jc w:val="center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4A3B4B75" w14:textId="77777777" w:rsidR="000F701E" w:rsidRPr="00A52EC9" w:rsidRDefault="000F701E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64" w:type="dxa"/>
            <w:shd w:val="clear" w:color="000000" w:fill="FFFFFF"/>
            <w:vAlign w:val="center"/>
            <w:hideMark/>
          </w:tcPr>
          <w:p w14:paraId="5FCAAB9B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od tega: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D264CEB" w14:textId="77777777" w:rsidR="000F701E" w:rsidRPr="00A52EC9" w:rsidRDefault="000F701E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Šmarje pri Jelšah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61DDFD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0,80</w:t>
            </w:r>
          </w:p>
        </w:tc>
      </w:tr>
      <w:tr w:rsidR="000F701E" w:rsidRPr="00A52EC9" w14:paraId="4E64EF67" w14:textId="77777777" w:rsidTr="00A52EC9">
        <w:trPr>
          <w:trHeight w:val="210"/>
          <w:jc w:val="center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7786956F" w14:textId="77777777" w:rsidR="000F701E" w:rsidRPr="00A52EC9" w:rsidRDefault="000F701E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64" w:type="dxa"/>
            <w:shd w:val="clear" w:color="000000" w:fill="FFFFFF"/>
            <w:vAlign w:val="center"/>
            <w:hideMark/>
          </w:tcPr>
          <w:p w14:paraId="011FBF7C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A01AAC6" w14:textId="77777777" w:rsidR="000F701E" w:rsidRPr="00A52EC9" w:rsidRDefault="000F701E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Žalec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6D0146A5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1,10</w:t>
            </w:r>
          </w:p>
        </w:tc>
      </w:tr>
      <w:tr w:rsidR="000F701E" w:rsidRPr="00A52EC9" w14:paraId="4DD10196" w14:textId="77777777" w:rsidTr="00A52EC9">
        <w:trPr>
          <w:trHeight w:val="210"/>
          <w:jc w:val="center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114120AE" w14:textId="77777777" w:rsidR="000F701E" w:rsidRPr="00A52EC9" w:rsidRDefault="000F701E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64" w:type="dxa"/>
            <w:shd w:val="clear" w:color="000000" w:fill="FFFFFF"/>
            <w:vAlign w:val="center"/>
            <w:hideMark/>
          </w:tcPr>
          <w:p w14:paraId="0A8F7A06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3D48DE3E" w14:textId="77777777" w:rsidR="000F701E" w:rsidRPr="00A52EC9" w:rsidRDefault="000F701E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Ljubljana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F82D4DB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1,60</w:t>
            </w:r>
          </w:p>
        </w:tc>
      </w:tr>
      <w:tr w:rsidR="000F701E" w:rsidRPr="00A52EC9" w14:paraId="1A2D2C9C" w14:textId="77777777" w:rsidTr="00A52EC9">
        <w:trPr>
          <w:trHeight w:val="210"/>
          <w:jc w:val="center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6636B3CD" w14:textId="77777777" w:rsidR="000F701E" w:rsidRPr="00A52EC9" w:rsidRDefault="000F701E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64" w:type="dxa"/>
            <w:shd w:val="clear" w:color="000000" w:fill="FFFFFF"/>
            <w:vAlign w:val="center"/>
            <w:hideMark/>
          </w:tcPr>
          <w:p w14:paraId="5B9CB748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26303002" w14:textId="77777777" w:rsidR="000F701E" w:rsidRPr="00A52EC9" w:rsidRDefault="000F701E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Cerknica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1AE70F4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0,60</w:t>
            </w:r>
          </w:p>
        </w:tc>
      </w:tr>
      <w:tr w:rsidR="000F701E" w:rsidRPr="00A52EC9" w14:paraId="0D230EFB" w14:textId="77777777" w:rsidTr="00A52EC9">
        <w:trPr>
          <w:trHeight w:val="210"/>
          <w:jc w:val="center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52152EA5" w14:textId="77777777" w:rsidR="000F701E" w:rsidRPr="00A52EC9" w:rsidRDefault="000F701E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64" w:type="dxa"/>
            <w:shd w:val="clear" w:color="000000" w:fill="FFFFFF"/>
            <w:vAlign w:val="center"/>
            <w:hideMark/>
          </w:tcPr>
          <w:p w14:paraId="11AB3ED8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196A235" w14:textId="77777777" w:rsidR="000F701E" w:rsidRPr="00A52EC9" w:rsidRDefault="000F701E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Kočevje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AD9BEDE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1,00</w:t>
            </w:r>
          </w:p>
        </w:tc>
      </w:tr>
      <w:tr w:rsidR="000F701E" w:rsidRPr="00A52EC9" w14:paraId="69744FE4" w14:textId="77777777" w:rsidTr="00A52EC9">
        <w:trPr>
          <w:trHeight w:val="210"/>
          <w:jc w:val="center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150264B7" w14:textId="77777777" w:rsidR="000F701E" w:rsidRPr="00A52EC9" w:rsidRDefault="000F701E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64" w:type="dxa"/>
            <w:shd w:val="clear" w:color="000000" w:fill="FFFFFF"/>
            <w:vAlign w:val="center"/>
            <w:hideMark/>
          </w:tcPr>
          <w:p w14:paraId="17DE766E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C722B68" w14:textId="77777777" w:rsidR="000F701E" w:rsidRPr="00A52EC9" w:rsidRDefault="000F701E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Maribor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52F81FA1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0,60</w:t>
            </w:r>
          </w:p>
        </w:tc>
      </w:tr>
      <w:tr w:rsidR="000F701E" w:rsidRPr="00A52EC9" w14:paraId="5908E287" w14:textId="77777777" w:rsidTr="00A52EC9">
        <w:trPr>
          <w:trHeight w:val="210"/>
          <w:jc w:val="center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2E29DABC" w14:textId="77777777" w:rsidR="000F701E" w:rsidRPr="00A52EC9" w:rsidRDefault="000F701E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64" w:type="dxa"/>
            <w:shd w:val="clear" w:color="000000" w:fill="FFFFFF"/>
            <w:vAlign w:val="center"/>
            <w:hideMark/>
          </w:tcPr>
          <w:p w14:paraId="16B93045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597D95F7" w14:textId="77777777" w:rsidR="000F701E" w:rsidRPr="00A52EC9" w:rsidRDefault="000F701E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Novo Mesto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1EF08D6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0,50</w:t>
            </w:r>
          </w:p>
        </w:tc>
      </w:tr>
      <w:tr w:rsidR="000F701E" w:rsidRPr="00A52EC9" w14:paraId="32E37270" w14:textId="77777777" w:rsidTr="00A52EC9">
        <w:trPr>
          <w:trHeight w:val="210"/>
          <w:jc w:val="center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44E7303B" w14:textId="77777777" w:rsidR="000F701E" w:rsidRPr="00A52EC9" w:rsidRDefault="000F701E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64" w:type="dxa"/>
            <w:shd w:val="clear" w:color="000000" w:fill="FFFFFF"/>
            <w:vAlign w:val="center"/>
            <w:hideMark/>
          </w:tcPr>
          <w:p w14:paraId="74322371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4286A85A" w14:textId="77777777" w:rsidR="000F701E" w:rsidRPr="00A52EC9" w:rsidRDefault="000F701E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Trebnje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42F559BD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0,80</w:t>
            </w:r>
          </w:p>
        </w:tc>
      </w:tr>
      <w:tr w:rsidR="000F701E" w:rsidRPr="00A52EC9" w14:paraId="6F893D64" w14:textId="77777777" w:rsidTr="00A52EC9">
        <w:trPr>
          <w:trHeight w:val="210"/>
          <w:jc w:val="center"/>
        </w:trPr>
        <w:tc>
          <w:tcPr>
            <w:tcW w:w="517" w:type="dxa"/>
            <w:shd w:val="clear" w:color="000000" w:fill="FFFFFF"/>
            <w:vAlign w:val="center"/>
            <w:hideMark/>
          </w:tcPr>
          <w:p w14:paraId="5AAA0F4C" w14:textId="77777777" w:rsidR="000F701E" w:rsidRPr="00A52EC9" w:rsidRDefault="000F701E" w:rsidP="00BE0C92">
            <w:pPr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3164" w:type="dxa"/>
            <w:shd w:val="clear" w:color="000000" w:fill="FFFFFF"/>
            <w:vAlign w:val="center"/>
            <w:hideMark/>
          </w:tcPr>
          <w:p w14:paraId="4919C3EE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14:paraId="7C7E5BD2" w14:textId="77777777" w:rsidR="000F701E" w:rsidRPr="00A52EC9" w:rsidRDefault="000F701E" w:rsidP="00BE0C92">
            <w:pPr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Ravne na Koroškem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69589BE" w14:textId="77777777" w:rsidR="000F701E" w:rsidRPr="00A52EC9" w:rsidRDefault="000F701E" w:rsidP="00BE0C92">
            <w:pPr>
              <w:jc w:val="right"/>
              <w:outlineLv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52EC9">
              <w:rPr>
                <w:rFonts w:asciiTheme="minorHAnsi" w:hAnsiTheme="minorHAnsi" w:cstheme="minorHAnsi"/>
                <w:sz w:val="18"/>
                <w:szCs w:val="18"/>
              </w:rPr>
              <w:t>0,60</w:t>
            </w:r>
          </w:p>
        </w:tc>
      </w:tr>
    </w:tbl>
    <w:p w14:paraId="2C978DD2" w14:textId="4D288223" w:rsidR="004A6F67" w:rsidRDefault="004A6F67" w:rsidP="00D47C1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615522E" w14:textId="1AFE83E8" w:rsidR="004A6F67" w:rsidRDefault="004A6F67" w:rsidP="00D47C1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6C93DD4" w14:textId="77777777" w:rsidR="00D47C14" w:rsidRPr="00A52EC9" w:rsidRDefault="00D47C14" w:rsidP="00D47C14">
      <w:pPr>
        <w:autoSpaceDE w:val="0"/>
        <w:autoSpaceDN w:val="0"/>
        <w:adjustRightInd w:val="0"/>
        <w:ind w:left="4956" w:firstLine="708"/>
        <w:rPr>
          <w:rFonts w:cs="Calibri"/>
          <w:bCs/>
          <w:color w:val="000000"/>
        </w:rPr>
      </w:pPr>
      <w:r w:rsidRPr="00A52EC9">
        <w:rPr>
          <w:rFonts w:cs="Calibri"/>
          <w:bCs/>
          <w:color w:val="000000"/>
        </w:rPr>
        <w:t xml:space="preserve">ZAVOD ZA ZDRAVSTVENO </w:t>
      </w:r>
    </w:p>
    <w:p w14:paraId="1155A8B0" w14:textId="77777777" w:rsidR="00D47C14" w:rsidRPr="00A52EC9" w:rsidRDefault="00D47C14" w:rsidP="00D47C14">
      <w:pPr>
        <w:autoSpaceDE w:val="0"/>
        <w:autoSpaceDN w:val="0"/>
        <w:adjustRightInd w:val="0"/>
        <w:ind w:left="4956" w:firstLine="708"/>
        <w:rPr>
          <w:rFonts w:cs="Calibri"/>
          <w:bCs/>
          <w:color w:val="000000"/>
        </w:rPr>
      </w:pPr>
      <w:r w:rsidRPr="00A52EC9">
        <w:rPr>
          <w:rFonts w:cs="Calibri"/>
          <w:bCs/>
          <w:color w:val="000000"/>
        </w:rPr>
        <w:t>ZAVAROVANJE SLOVENIJE</w:t>
      </w:r>
    </w:p>
    <w:p w14:paraId="29851BC1" w14:textId="2382B66D" w:rsidR="007A4239" w:rsidRPr="00A35B71" w:rsidRDefault="0030642F" w:rsidP="000F701E">
      <w:pPr>
        <w:tabs>
          <w:tab w:val="clear" w:pos="5670"/>
        </w:tabs>
        <w:spacing w:line="240" w:lineRule="auto"/>
        <w:jc w:val="left"/>
        <w:rPr>
          <w:rFonts w:asciiTheme="minorHAnsi" w:hAnsiTheme="minorHAnsi" w:cstheme="minorHAnsi"/>
        </w:rPr>
        <w:sectPr w:rsidR="007A4239" w:rsidRPr="00A35B71" w:rsidSect="00EB67D2">
          <w:footerReference w:type="default" r:id="rId8"/>
          <w:headerReference w:type="first" r:id="rId9"/>
          <w:pgSz w:w="11906" w:h="16838"/>
          <w:pgMar w:top="2268" w:right="1701" w:bottom="1418" w:left="1701" w:header="284" w:footer="709" w:gutter="0"/>
          <w:pgNumType w:start="1"/>
          <w:cols w:space="708"/>
          <w:titlePg/>
          <w:docGrid w:linePitch="360"/>
        </w:sectPr>
      </w:pPr>
      <w:r>
        <w:rPr>
          <w:rFonts w:asciiTheme="minorHAnsi" w:hAnsiTheme="minorHAnsi" w:cstheme="minorHAnsi"/>
        </w:rPr>
        <w:br w:type="page"/>
      </w:r>
    </w:p>
    <w:p w14:paraId="728690C1" w14:textId="77777777" w:rsidR="007A4239" w:rsidRPr="00A35B71" w:rsidRDefault="007A4239" w:rsidP="00EB67D2">
      <w:pPr>
        <w:rPr>
          <w:rFonts w:asciiTheme="minorHAnsi" w:hAnsiTheme="minorHAnsi" w:cstheme="minorHAnsi"/>
        </w:rPr>
      </w:pPr>
    </w:p>
    <w:sectPr w:rsidR="007A4239" w:rsidRPr="00A35B71" w:rsidSect="007A4239">
      <w:footerReference w:type="default" r:id="rId10"/>
      <w:headerReference w:type="first" r:id="rId11"/>
      <w:type w:val="continuous"/>
      <w:pgSz w:w="11906" w:h="16838"/>
      <w:pgMar w:top="2268" w:right="1701" w:bottom="141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4058" w14:textId="77777777" w:rsidR="00A23B6D" w:rsidRDefault="00A23B6D" w:rsidP="001F51E9">
      <w:pPr>
        <w:spacing w:line="240" w:lineRule="auto"/>
      </w:pPr>
      <w:r>
        <w:separator/>
      </w:r>
    </w:p>
  </w:endnote>
  <w:endnote w:type="continuationSeparator" w:id="0">
    <w:p w14:paraId="14A50808" w14:textId="77777777" w:rsidR="00A23B6D" w:rsidRDefault="00A23B6D" w:rsidP="001F5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7CFA" w14:textId="77777777" w:rsidR="00A23B6D" w:rsidRDefault="00A23B6D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5F3D" w14:textId="77777777" w:rsidR="00A23B6D" w:rsidRDefault="00A23B6D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1A62E" w14:textId="77777777" w:rsidR="00A23B6D" w:rsidRDefault="00A23B6D" w:rsidP="001F51E9">
      <w:pPr>
        <w:spacing w:line="240" w:lineRule="auto"/>
      </w:pPr>
      <w:r>
        <w:separator/>
      </w:r>
    </w:p>
  </w:footnote>
  <w:footnote w:type="continuationSeparator" w:id="0">
    <w:p w14:paraId="2DC1A5F9" w14:textId="77777777" w:rsidR="00A23B6D" w:rsidRDefault="00A23B6D" w:rsidP="001F5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839"/>
      <w:gridCol w:w="2840"/>
      <w:gridCol w:w="2825"/>
    </w:tblGrid>
    <w:tr w:rsidR="00A23B6D" w:rsidRPr="007B6600" w14:paraId="7A39DA28" w14:textId="77777777" w:rsidTr="006C14C3">
      <w:trPr>
        <w:trHeight w:hRule="exact" w:val="907"/>
      </w:trPr>
      <w:tc>
        <w:tcPr>
          <w:tcW w:w="2839" w:type="dxa"/>
          <w:shd w:val="clear" w:color="auto" w:fill="auto"/>
        </w:tcPr>
        <w:p w14:paraId="6A9BB335" w14:textId="77777777" w:rsidR="00A23B6D" w:rsidRPr="007B6600" w:rsidRDefault="00A23B6D" w:rsidP="006C14C3">
          <w:pPr>
            <w:pStyle w:val="Glava"/>
            <w:ind w:left="-108"/>
          </w:pPr>
          <w:r>
            <w:rPr>
              <w:noProof/>
              <w:lang w:eastAsia="sl-SI"/>
            </w:rPr>
            <w:drawing>
              <wp:inline distT="0" distB="0" distL="0" distR="0" wp14:anchorId="4024D4DA" wp14:editId="600692C6">
                <wp:extent cx="905773" cy="220047"/>
                <wp:effectExtent l="0" t="0" r="0" b="889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 ZZZ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794" cy="22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36DF6D" w14:textId="77777777" w:rsidR="00A23B6D" w:rsidRPr="007B6600" w:rsidRDefault="00A23B6D" w:rsidP="006C14C3">
          <w:pPr>
            <w:pStyle w:val="Glava"/>
            <w:spacing w:line="220" w:lineRule="exact"/>
            <w:ind w:left="-108"/>
            <w:jc w:val="lef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40" w:type="dxa"/>
          <w:vMerge w:val="restart"/>
          <w:shd w:val="clear" w:color="auto" w:fill="auto"/>
        </w:tcPr>
        <w:p w14:paraId="3E265D5F" w14:textId="0C1F5E3E" w:rsidR="00A23B6D" w:rsidRPr="007B6600" w:rsidRDefault="00A23B6D" w:rsidP="007B6600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2A6F3576" wp14:editId="0762A78B">
                <wp:extent cx="907750" cy="639551"/>
                <wp:effectExtent l="0" t="0" r="6985" b="8255"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308" cy="660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60D8DA41" w14:textId="55596B5E" w:rsidR="00A23B6D" w:rsidRPr="007B6600" w:rsidRDefault="00A23B6D" w:rsidP="00BD6B16">
          <w:pPr>
            <w:pStyle w:val="Glava"/>
            <w:jc w:val="right"/>
          </w:pPr>
        </w:p>
      </w:tc>
    </w:tr>
    <w:tr w:rsidR="00A23B6D" w:rsidRPr="007B6600" w14:paraId="26717794" w14:textId="77777777" w:rsidTr="006C14C3">
      <w:trPr>
        <w:trHeight w:hRule="exact" w:val="113"/>
      </w:trPr>
      <w:tc>
        <w:tcPr>
          <w:tcW w:w="2839" w:type="dxa"/>
          <w:shd w:val="clear" w:color="auto" w:fill="auto"/>
        </w:tcPr>
        <w:p w14:paraId="18733BFA" w14:textId="77777777" w:rsidR="00A23B6D" w:rsidRPr="00CE24E4" w:rsidRDefault="00A23B6D" w:rsidP="006C14C3">
          <w:pPr>
            <w:pStyle w:val="Glava"/>
            <w:ind w:left="-108"/>
            <w:rPr>
              <w:b/>
              <w:noProof/>
              <w:lang w:eastAsia="sl-SI"/>
            </w:rPr>
          </w:pPr>
        </w:p>
      </w:tc>
      <w:tc>
        <w:tcPr>
          <w:tcW w:w="2840" w:type="dxa"/>
          <w:vMerge/>
          <w:shd w:val="clear" w:color="auto" w:fill="auto"/>
        </w:tcPr>
        <w:p w14:paraId="17D09AA6" w14:textId="77777777" w:rsidR="00A23B6D" w:rsidRPr="007B6600" w:rsidRDefault="00A23B6D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38C987F4" w14:textId="77777777" w:rsidR="00A23B6D" w:rsidRPr="007B6600" w:rsidRDefault="00A23B6D" w:rsidP="00EA172B">
          <w:pPr>
            <w:pStyle w:val="Glava"/>
          </w:pPr>
        </w:p>
      </w:tc>
    </w:tr>
    <w:tr w:rsidR="00A23B6D" w:rsidRPr="00BA612C" w14:paraId="3D71911F" w14:textId="77777777" w:rsidTr="006C14C3">
      <w:tc>
        <w:tcPr>
          <w:tcW w:w="5679" w:type="dxa"/>
          <w:gridSpan w:val="2"/>
          <w:shd w:val="clear" w:color="auto" w:fill="auto"/>
        </w:tcPr>
        <w:p w14:paraId="1861A081" w14:textId="77777777" w:rsidR="00A23B6D" w:rsidRDefault="00A23B6D" w:rsidP="00647E40">
          <w:pPr>
            <w:pStyle w:val="Ulica"/>
            <w:ind w:left="-108"/>
            <w:rPr>
              <w:b/>
            </w:rPr>
          </w:pPr>
          <w:r w:rsidRPr="00A25A3B">
            <w:rPr>
              <w:b/>
            </w:rPr>
            <w:t>Direkcija</w:t>
          </w:r>
        </w:p>
        <w:p w14:paraId="0499599B" w14:textId="1EF0D680" w:rsidR="00A23B6D" w:rsidRPr="00647E40" w:rsidRDefault="00A23B6D" w:rsidP="00647E40">
          <w:pPr>
            <w:pStyle w:val="Ulica"/>
            <w:ind w:left="-108"/>
            <w:rPr>
              <w:b/>
            </w:rPr>
          </w:pPr>
          <w:r>
            <w:t>Sektor za informiranje in odnose z javnostmi</w:t>
          </w:r>
        </w:p>
        <w:p w14:paraId="2EE664AE" w14:textId="2E7AD995" w:rsidR="00A23B6D" w:rsidRPr="00BA612C" w:rsidRDefault="00A23B6D" w:rsidP="006C14C3">
          <w:pPr>
            <w:pStyle w:val="Ulica"/>
            <w:ind w:left="-108"/>
            <w:rPr>
              <w:lang w:eastAsia="sl-SI"/>
            </w:rPr>
          </w:pPr>
          <w:r>
            <w:t>Miklošičeva cesta 24, 1000 Ljubljana</w:t>
          </w:r>
        </w:p>
      </w:tc>
      <w:tc>
        <w:tcPr>
          <w:tcW w:w="2825" w:type="dxa"/>
          <w:shd w:val="clear" w:color="auto" w:fill="auto"/>
          <w:tcMar>
            <w:left w:w="0" w:type="dxa"/>
          </w:tcMar>
        </w:tcPr>
        <w:p w14:paraId="57B14372" w14:textId="77777777" w:rsidR="00A23B6D" w:rsidRDefault="00A23B6D" w:rsidP="00593D84">
          <w:pPr>
            <w:pStyle w:val="Glava"/>
            <w:spacing w:line="240" w:lineRule="exact"/>
            <w:jc w:val="left"/>
            <w:rPr>
              <w:noProof/>
            </w:rPr>
          </w:pPr>
          <w:r w:rsidRPr="00BA612C">
            <w:t xml:space="preserve">Tel.: </w:t>
          </w:r>
          <w:r>
            <w:rPr>
              <w:noProof/>
            </w:rPr>
            <w:t>01 30 77 296</w:t>
          </w:r>
        </w:p>
        <w:p w14:paraId="46755D42" w14:textId="77777777" w:rsidR="00A23B6D" w:rsidRPr="00BA612C" w:rsidRDefault="00A23B6D" w:rsidP="00593D84">
          <w:pPr>
            <w:pStyle w:val="Glava"/>
            <w:spacing w:line="240" w:lineRule="exact"/>
            <w:jc w:val="left"/>
            <w:rPr>
              <w:noProof/>
            </w:rPr>
          </w:pPr>
          <w:r>
            <w:rPr>
              <w:noProof/>
            </w:rPr>
            <w:t>Fax: 01 23 12 182</w:t>
          </w:r>
        </w:p>
        <w:p w14:paraId="1F877596" w14:textId="77777777" w:rsidR="00A23B6D" w:rsidRPr="00BA612C" w:rsidRDefault="00A23B6D" w:rsidP="00593D84">
          <w:pPr>
            <w:pStyle w:val="Glava"/>
            <w:spacing w:line="240" w:lineRule="exact"/>
            <w:jc w:val="left"/>
          </w:pPr>
          <w:r w:rsidRPr="00BA612C">
            <w:t xml:space="preserve">E-pošta: </w:t>
          </w:r>
          <w:r>
            <w:rPr>
              <w:noProof/>
            </w:rPr>
            <w:t>di@zzzs.si</w:t>
          </w:r>
        </w:p>
        <w:p w14:paraId="2AB6AF58" w14:textId="77777777" w:rsidR="00A23B6D" w:rsidRPr="00BA612C" w:rsidRDefault="00A23B6D" w:rsidP="00593D84">
          <w:pPr>
            <w:pStyle w:val="Glava"/>
            <w:spacing w:line="240" w:lineRule="exact"/>
            <w:jc w:val="left"/>
          </w:pPr>
          <w:r w:rsidRPr="00BA612C">
            <w:t>www.zzzs.si</w:t>
          </w:r>
        </w:p>
      </w:tc>
    </w:tr>
  </w:tbl>
  <w:p w14:paraId="48D9170C" w14:textId="77777777" w:rsidR="00A23B6D" w:rsidRPr="00BA612C" w:rsidRDefault="00A23B6D" w:rsidP="00CE24E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A23B6D" w:rsidRPr="007B6600" w14:paraId="18B2DBC9" w14:textId="77777777" w:rsidTr="00CE24E4">
      <w:trPr>
        <w:trHeight w:hRule="exact" w:val="907"/>
      </w:trPr>
      <w:tc>
        <w:tcPr>
          <w:tcW w:w="2881" w:type="dxa"/>
          <w:shd w:val="clear" w:color="auto" w:fill="auto"/>
        </w:tcPr>
        <w:p w14:paraId="44988B62" w14:textId="77777777" w:rsidR="00A23B6D" w:rsidRPr="007B6600" w:rsidRDefault="00A23B6D" w:rsidP="00CE24E4">
          <w:pPr>
            <w:pStyle w:val="Glava"/>
            <w:spacing w:line="220" w:lineRule="exact"/>
            <w:jc w:val="left"/>
            <w:rPr>
              <w:b/>
            </w:rPr>
          </w:pPr>
        </w:p>
      </w:tc>
      <w:tc>
        <w:tcPr>
          <w:tcW w:w="2881" w:type="dxa"/>
          <w:shd w:val="clear" w:color="auto" w:fill="auto"/>
        </w:tcPr>
        <w:p w14:paraId="2B280226" w14:textId="77777777" w:rsidR="00A23B6D" w:rsidRPr="007B6600" w:rsidRDefault="00A23B6D" w:rsidP="007B6600">
          <w:pPr>
            <w:pStyle w:val="Glava"/>
            <w:jc w:val="center"/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38E73396" w14:textId="77777777" w:rsidR="00A23B6D" w:rsidRPr="007B6600" w:rsidRDefault="00A23B6D" w:rsidP="00EA172B">
          <w:pPr>
            <w:pStyle w:val="Glava"/>
          </w:pPr>
        </w:p>
      </w:tc>
    </w:tr>
    <w:tr w:rsidR="00A23B6D" w:rsidRPr="007B6600" w14:paraId="757D9E4E" w14:textId="77777777" w:rsidTr="00CE24E4">
      <w:trPr>
        <w:trHeight w:hRule="exact" w:val="113"/>
      </w:trPr>
      <w:tc>
        <w:tcPr>
          <w:tcW w:w="2881" w:type="dxa"/>
          <w:shd w:val="clear" w:color="auto" w:fill="auto"/>
        </w:tcPr>
        <w:p w14:paraId="20A65CC7" w14:textId="77777777" w:rsidR="00A23B6D" w:rsidRPr="00CE24E4" w:rsidRDefault="00A23B6D" w:rsidP="00EA172B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2941FEF5" w14:textId="77777777" w:rsidR="00A23B6D" w:rsidRPr="007B6600" w:rsidRDefault="00A23B6D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63DECD7A" w14:textId="77777777" w:rsidR="00A23B6D" w:rsidRPr="007B6600" w:rsidRDefault="00A23B6D" w:rsidP="00EA172B">
          <w:pPr>
            <w:pStyle w:val="Glava"/>
          </w:pPr>
        </w:p>
      </w:tc>
    </w:tr>
    <w:tr w:rsidR="00A23B6D" w:rsidRPr="00BA612C" w14:paraId="1C2973FF" w14:textId="77777777" w:rsidTr="00EA172B">
      <w:tc>
        <w:tcPr>
          <w:tcW w:w="5762" w:type="dxa"/>
          <w:gridSpan w:val="2"/>
          <w:shd w:val="clear" w:color="auto" w:fill="auto"/>
        </w:tcPr>
        <w:p w14:paraId="6F2F0022" w14:textId="77777777" w:rsidR="00A23B6D" w:rsidRPr="00BA612C" w:rsidRDefault="00A23B6D" w:rsidP="00EB67D2">
          <w:pPr>
            <w:pStyle w:val="Ulica"/>
            <w:rPr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79250478" w14:textId="77777777" w:rsidR="00A23B6D" w:rsidRPr="00BA612C" w:rsidRDefault="00A23B6D" w:rsidP="005C199C">
          <w:pPr>
            <w:pStyle w:val="Glava"/>
            <w:spacing w:line="240" w:lineRule="exact"/>
            <w:jc w:val="left"/>
          </w:pPr>
        </w:p>
      </w:tc>
    </w:tr>
  </w:tbl>
  <w:p w14:paraId="7D53AF9C" w14:textId="77777777" w:rsidR="00A23B6D" w:rsidRPr="00BA612C" w:rsidRDefault="00A23B6D" w:rsidP="00CE24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483A"/>
    <w:multiLevelType w:val="hybridMultilevel"/>
    <w:tmpl w:val="D3700A2C"/>
    <w:lvl w:ilvl="0" w:tplc="91E8162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E4F6D"/>
    <w:multiLevelType w:val="hybridMultilevel"/>
    <w:tmpl w:val="33C0AC3C"/>
    <w:lvl w:ilvl="0" w:tplc="54129D7C">
      <w:start w:val="123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6FF"/>
    <w:multiLevelType w:val="hybridMultilevel"/>
    <w:tmpl w:val="DD1C08CC"/>
    <w:lvl w:ilvl="0" w:tplc="3E6055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64E2"/>
    <w:multiLevelType w:val="hybridMultilevel"/>
    <w:tmpl w:val="F808F528"/>
    <w:lvl w:ilvl="0" w:tplc="12D27B9E">
      <w:start w:val="1"/>
      <w:numFmt w:val="decimal"/>
      <w:lvlText w:val="(%1)"/>
      <w:lvlJc w:val="left"/>
      <w:pPr>
        <w:ind w:left="1361" w:firstLine="1247"/>
      </w:pPr>
      <w:rPr>
        <w:rFonts w:hint="default"/>
        <w:b w:val="0"/>
        <w:bCs/>
        <w:i w:val="0"/>
      </w:rPr>
    </w:lvl>
    <w:lvl w:ilvl="1" w:tplc="39B2E256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54D4A"/>
    <w:multiLevelType w:val="hybridMultilevel"/>
    <w:tmpl w:val="B96E5D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185229"/>
    <w:multiLevelType w:val="hybridMultilevel"/>
    <w:tmpl w:val="9BE2D728"/>
    <w:lvl w:ilvl="0" w:tplc="01A8FEAC">
      <w:start w:val="1"/>
      <w:numFmt w:val="decimal"/>
      <w:lvlText w:val="%1.)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44F6E"/>
    <w:multiLevelType w:val="hybridMultilevel"/>
    <w:tmpl w:val="D7489FC6"/>
    <w:lvl w:ilvl="0" w:tplc="34B4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C5AA2"/>
    <w:multiLevelType w:val="hybridMultilevel"/>
    <w:tmpl w:val="F4E0F7F8"/>
    <w:lvl w:ilvl="0" w:tplc="E1EA5C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747699"/>
    <w:multiLevelType w:val="hybridMultilevel"/>
    <w:tmpl w:val="1ACECF94"/>
    <w:lvl w:ilvl="0" w:tplc="22BCFF38"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610911"/>
    <w:multiLevelType w:val="hybridMultilevel"/>
    <w:tmpl w:val="B9EE8634"/>
    <w:lvl w:ilvl="0" w:tplc="8B0A92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B0A923A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E40BE1"/>
    <w:multiLevelType w:val="hybridMultilevel"/>
    <w:tmpl w:val="F808F528"/>
    <w:lvl w:ilvl="0" w:tplc="12D27B9E">
      <w:start w:val="1"/>
      <w:numFmt w:val="decimal"/>
      <w:lvlText w:val="(%1)"/>
      <w:lvlJc w:val="left"/>
      <w:pPr>
        <w:ind w:left="1361" w:firstLine="1247"/>
      </w:pPr>
      <w:rPr>
        <w:rFonts w:hint="default"/>
        <w:b w:val="0"/>
        <w:bCs/>
        <w:i w:val="0"/>
      </w:rPr>
    </w:lvl>
    <w:lvl w:ilvl="1" w:tplc="39B2E256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DA0677"/>
    <w:multiLevelType w:val="hybridMultilevel"/>
    <w:tmpl w:val="83E0BA48"/>
    <w:lvl w:ilvl="0" w:tplc="39B2E256">
      <w:start w:val="1"/>
      <w:numFmt w:val="decimal"/>
      <w:lvlText w:val="(%1)"/>
      <w:lvlJc w:val="left"/>
      <w:pPr>
        <w:ind w:left="2916" w:hanging="360"/>
      </w:pPr>
      <w:rPr>
        <w:rFonts w:hint="default"/>
      </w:rPr>
    </w:lvl>
    <w:lvl w:ilvl="1" w:tplc="8B0A923A">
      <w:start w:val="1"/>
      <w:numFmt w:val="decimal"/>
      <w:lvlText w:val="(%2)"/>
      <w:lvlJc w:val="left"/>
      <w:pPr>
        <w:ind w:left="3636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4356" w:hanging="180"/>
      </w:pPr>
    </w:lvl>
    <w:lvl w:ilvl="3" w:tplc="0424000F" w:tentative="1">
      <w:start w:val="1"/>
      <w:numFmt w:val="decimal"/>
      <w:lvlText w:val="%4."/>
      <w:lvlJc w:val="left"/>
      <w:pPr>
        <w:ind w:left="5076" w:hanging="360"/>
      </w:pPr>
    </w:lvl>
    <w:lvl w:ilvl="4" w:tplc="04240019" w:tentative="1">
      <w:start w:val="1"/>
      <w:numFmt w:val="lowerLetter"/>
      <w:lvlText w:val="%5."/>
      <w:lvlJc w:val="left"/>
      <w:pPr>
        <w:ind w:left="5796" w:hanging="360"/>
      </w:pPr>
    </w:lvl>
    <w:lvl w:ilvl="5" w:tplc="0424001B" w:tentative="1">
      <w:start w:val="1"/>
      <w:numFmt w:val="lowerRoman"/>
      <w:lvlText w:val="%6."/>
      <w:lvlJc w:val="right"/>
      <w:pPr>
        <w:ind w:left="6516" w:hanging="180"/>
      </w:pPr>
    </w:lvl>
    <w:lvl w:ilvl="6" w:tplc="0424000F" w:tentative="1">
      <w:start w:val="1"/>
      <w:numFmt w:val="decimal"/>
      <w:lvlText w:val="%7."/>
      <w:lvlJc w:val="left"/>
      <w:pPr>
        <w:ind w:left="7236" w:hanging="360"/>
      </w:pPr>
    </w:lvl>
    <w:lvl w:ilvl="7" w:tplc="04240019" w:tentative="1">
      <w:start w:val="1"/>
      <w:numFmt w:val="lowerLetter"/>
      <w:lvlText w:val="%8."/>
      <w:lvlJc w:val="left"/>
      <w:pPr>
        <w:ind w:left="7956" w:hanging="360"/>
      </w:pPr>
    </w:lvl>
    <w:lvl w:ilvl="8" w:tplc="0424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3" w15:restartNumberingAfterBreak="0">
    <w:nsid w:val="768B061C"/>
    <w:multiLevelType w:val="hybridMultilevel"/>
    <w:tmpl w:val="3D429812"/>
    <w:lvl w:ilvl="0" w:tplc="3E6055C0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A77A9D1E">
      <w:start w:val="1"/>
      <w:numFmt w:val="bullet"/>
      <w:lvlText w:val="-"/>
      <w:lvlJc w:val="left"/>
      <w:pPr>
        <w:ind w:left="2084" w:hanging="360"/>
      </w:pPr>
      <w:rPr>
        <w:rFonts w:ascii="Arial" w:hAnsi="Arial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86A5CE3"/>
    <w:multiLevelType w:val="hybridMultilevel"/>
    <w:tmpl w:val="688C60E6"/>
    <w:lvl w:ilvl="0" w:tplc="A77A9D1E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F92487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14"/>
  </w:num>
  <w:num w:numId="7">
    <w:abstractNumId w:val="8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E9"/>
    <w:rsid w:val="000137D8"/>
    <w:rsid w:val="000624EF"/>
    <w:rsid w:val="000A441F"/>
    <w:rsid w:val="000F701E"/>
    <w:rsid w:val="001056D4"/>
    <w:rsid w:val="001F51E9"/>
    <w:rsid w:val="00227A5F"/>
    <w:rsid w:val="002B1629"/>
    <w:rsid w:val="002F28F6"/>
    <w:rsid w:val="0030642F"/>
    <w:rsid w:val="00323624"/>
    <w:rsid w:val="00390C85"/>
    <w:rsid w:val="003E3CDC"/>
    <w:rsid w:val="003F53C2"/>
    <w:rsid w:val="0045154F"/>
    <w:rsid w:val="004A6F67"/>
    <w:rsid w:val="004B256E"/>
    <w:rsid w:val="004D0094"/>
    <w:rsid w:val="004F30B9"/>
    <w:rsid w:val="004F4CD3"/>
    <w:rsid w:val="004F7646"/>
    <w:rsid w:val="00512473"/>
    <w:rsid w:val="00523CFB"/>
    <w:rsid w:val="0057111F"/>
    <w:rsid w:val="00593D84"/>
    <w:rsid w:val="0059766B"/>
    <w:rsid w:val="005C199C"/>
    <w:rsid w:val="005F3EED"/>
    <w:rsid w:val="0062099F"/>
    <w:rsid w:val="0062282A"/>
    <w:rsid w:val="00635D42"/>
    <w:rsid w:val="00647E40"/>
    <w:rsid w:val="00661C48"/>
    <w:rsid w:val="00692020"/>
    <w:rsid w:val="006B28F6"/>
    <w:rsid w:val="006C14C3"/>
    <w:rsid w:val="00733719"/>
    <w:rsid w:val="007568F4"/>
    <w:rsid w:val="0078584A"/>
    <w:rsid w:val="007958AF"/>
    <w:rsid w:val="007A4239"/>
    <w:rsid w:val="007A6AE9"/>
    <w:rsid w:val="007B6600"/>
    <w:rsid w:val="007C5101"/>
    <w:rsid w:val="007E14F2"/>
    <w:rsid w:val="00856E9D"/>
    <w:rsid w:val="008F72F5"/>
    <w:rsid w:val="00914A92"/>
    <w:rsid w:val="00915A1F"/>
    <w:rsid w:val="0091752E"/>
    <w:rsid w:val="00945904"/>
    <w:rsid w:val="009636B2"/>
    <w:rsid w:val="00970C05"/>
    <w:rsid w:val="009C248B"/>
    <w:rsid w:val="009E7B74"/>
    <w:rsid w:val="009F5A6E"/>
    <w:rsid w:val="009F7970"/>
    <w:rsid w:val="00A06088"/>
    <w:rsid w:val="00A23B6D"/>
    <w:rsid w:val="00A35B71"/>
    <w:rsid w:val="00A52EC9"/>
    <w:rsid w:val="00AD6921"/>
    <w:rsid w:val="00AD77F5"/>
    <w:rsid w:val="00B7672F"/>
    <w:rsid w:val="00BA612C"/>
    <w:rsid w:val="00BD4484"/>
    <w:rsid w:val="00BD6B16"/>
    <w:rsid w:val="00C403F4"/>
    <w:rsid w:val="00C46D94"/>
    <w:rsid w:val="00C603B5"/>
    <w:rsid w:val="00C814DB"/>
    <w:rsid w:val="00CA583C"/>
    <w:rsid w:val="00CC0E7F"/>
    <w:rsid w:val="00CE24E4"/>
    <w:rsid w:val="00D4519F"/>
    <w:rsid w:val="00D47C14"/>
    <w:rsid w:val="00DA2337"/>
    <w:rsid w:val="00DD168B"/>
    <w:rsid w:val="00DE4228"/>
    <w:rsid w:val="00DF1130"/>
    <w:rsid w:val="00E27378"/>
    <w:rsid w:val="00E52AD0"/>
    <w:rsid w:val="00E84360"/>
    <w:rsid w:val="00EA172B"/>
    <w:rsid w:val="00EA6A40"/>
    <w:rsid w:val="00EB4B04"/>
    <w:rsid w:val="00EB6146"/>
    <w:rsid w:val="00EB67D2"/>
    <w:rsid w:val="00EC46ED"/>
    <w:rsid w:val="00ED2B37"/>
    <w:rsid w:val="00EE7738"/>
    <w:rsid w:val="00F200CB"/>
    <w:rsid w:val="00F20F75"/>
    <w:rsid w:val="00F50CB1"/>
    <w:rsid w:val="00F6421A"/>
    <w:rsid w:val="00F67B95"/>
    <w:rsid w:val="00F90CB8"/>
    <w:rsid w:val="00F94033"/>
    <w:rsid w:val="00FC6370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97084D"/>
  <w15:docId w15:val="{A5BC30A9-A320-45BE-A417-48F52313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35D42"/>
    <w:pPr>
      <w:tabs>
        <w:tab w:val="left" w:pos="5670"/>
      </w:tabs>
      <w:spacing w:line="240" w:lineRule="exact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F51E9"/>
  </w:style>
  <w:style w:type="paragraph" w:styleId="Noga">
    <w:name w:val="footer"/>
    <w:basedOn w:val="Navaden"/>
    <w:link w:val="NogaZnak"/>
    <w:uiPriority w:val="99"/>
    <w:unhideWhenUsed/>
    <w:rsid w:val="001F51E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F51E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1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F51E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F5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F30B9"/>
    <w:rPr>
      <w:color w:val="0000FF"/>
      <w:u w:val="single"/>
    </w:rPr>
  </w:style>
  <w:style w:type="paragraph" w:customStyle="1" w:styleId="Naslovnik">
    <w:name w:val="Naslovnik"/>
    <w:basedOn w:val="Navaden"/>
    <w:qFormat/>
    <w:rsid w:val="00EB67D2"/>
    <w:rPr>
      <w:b/>
    </w:rPr>
  </w:style>
  <w:style w:type="paragraph" w:customStyle="1" w:styleId="Zadeva">
    <w:name w:val="Zadeva"/>
    <w:basedOn w:val="Naslovnik"/>
    <w:qFormat/>
    <w:rsid w:val="00EB67D2"/>
    <w:pPr>
      <w:spacing w:before="1440"/>
    </w:pPr>
  </w:style>
  <w:style w:type="paragraph" w:customStyle="1" w:styleId="Alineja">
    <w:name w:val="Alineja"/>
    <w:basedOn w:val="Navaden"/>
    <w:qFormat/>
    <w:rsid w:val="00AD6921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BasicParagraph">
    <w:name w:val="[Basic Paragraph]"/>
    <w:basedOn w:val="Navaden"/>
    <w:uiPriority w:val="99"/>
    <w:rsid w:val="00CE24E4"/>
    <w:pPr>
      <w:tabs>
        <w:tab w:val="clear" w:pos="5670"/>
      </w:tabs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  <w:lang w:val="en-GB" w:eastAsia="sl-SI"/>
    </w:rPr>
  </w:style>
  <w:style w:type="paragraph" w:customStyle="1" w:styleId="OE">
    <w:name w:val="OE"/>
    <w:basedOn w:val="Glava"/>
    <w:qFormat/>
    <w:rsid w:val="00EB67D2"/>
    <w:pPr>
      <w:spacing w:line="240" w:lineRule="exact"/>
      <w:jc w:val="left"/>
    </w:pPr>
    <w:rPr>
      <w:b/>
      <w:noProof/>
    </w:rPr>
  </w:style>
  <w:style w:type="paragraph" w:customStyle="1" w:styleId="Ulica">
    <w:name w:val="Ulica"/>
    <w:basedOn w:val="Glava"/>
    <w:qFormat/>
    <w:rsid w:val="00EB67D2"/>
    <w:pPr>
      <w:spacing w:line="240" w:lineRule="exact"/>
      <w:jc w:val="left"/>
    </w:pPr>
    <w:rPr>
      <w:noProof/>
    </w:rPr>
  </w:style>
  <w:style w:type="paragraph" w:customStyle="1" w:styleId="Slog1">
    <w:name w:val="Slog1"/>
    <w:basedOn w:val="Glava"/>
    <w:qFormat/>
    <w:rsid w:val="00EB67D2"/>
    <w:pPr>
      <w:jc w:val="left"/>
    </w:pPr>
    <w:rPr>
      <w:noProof/>
    </w:rPr>
  </w:style>
  <w:style w:type="paragraph" w:customStyle="1" w:styleId="t-datum">
    <w:name w:val="št-datum"/>
    <w:basedOn w:val="Navaden"/>
    <w:qFormat/>
    <w:rsid w:val="00EB67D2"/>
    <w:pPr>
      <w:ind w:left="5670"/>
    </w:pPr>
    <w:rPr>
      <w:lang w:val="it-IT"/>
    </w:rPr>
  </w:style>
  <w:style w:type="paragraph" w:customStyle="1" w:styleId="Podpisi">
    <w:name w:val="Podpisi"/>
    <w:basedOn w:val="Navaden"/>
    <w:qFormat/>
    <w:rsid w:val="00EB67D2"/>
  </w:style>
  <w:style w:type="paragraph" w:customStyle="1" w:styleId="Orgenota">
    <w:name w:val="Org enota"/>
    <w:basedOn w:val="Glava"/>
    <w:qFormat/>
    <w:rsid w:val="00EB67D2"/>
    <w:pPr>
      <w:spacing w:line="240" w:lineRule="exact"/>
      <w:jc w:val="left"/>
    </w:pPr>
    <w:rPr>
      <w:i/>
      <w:noProof/>
    </w:rPr>
  </w:style>
  <w:style w:type="paragraph" w:styleId="Telobesedila">
    <w:name w:val="Body Text"/>
    <w:basedOn w:val="Navaden"/>
    <w:link w:val="TelobesedilaZnak"/>
    <w:rsid w:val="00647E40"/>
    <w:pPr>
      <w:tabs>
        <w:tab w:val="clear" w:pos="5670"/>
      </w:tabs>
      <w:spacing w:line="240" w:lineRule="auto"/>
      <w:jc w:val="left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647E40"/>
    <w:rPr>
      <w:rFonts w:ascii="Times New Roman" w:eastAsia="Times New Roman" w:hAnsi="Times New Roman"/>
      <w:snapToGrid w:val="0"/>
      <w:color w:val="000000"/>
      <w:sz w:val="24"/>
      <w:lang w:val="x-none" w:eastAsia="x-non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35B7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35B71"/>
    <w:rPr>
      <w:sz w:val="22"/>
      <w:szCs w:val="22"/>
      <w:lang w:eastAsia="en-US"/>
    </w:rPr>
  </w:style>
  <w:style w:type="paragraph" w:styleId="Odstavekseznama">
    <w:name w:val="List Paragraph"/>
    <w:basedOn w:val="Navaden"/>
    <w:link w:val="OdstavekseznamaZnak"/>
    <w:uiPriority w:val="34"/>
    <w:qFormat/>
    <w:rsid w:val="00A35B71"/>
    <w:pPr>
      <w:tabs>
        <w:tab w:val="clear" w:pos="5670"/>
      </w:tabs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OdstavekseznamaZnak">
    <w:name w:val="Odstavek seznama Znak"/>
    <w:link w:val="Odstavekseznama"/>
    <w:uiPriority w:val="34"/>
    <w:rsid w:val="00A35B71"/>
    <w:rPr>
      <w:rFonts w:ascii="Times New Roman" w:eastAsia="Times New Roman" w:hAnsi="Times New Roman"/>
    </w:rPr>
  </w:style>
  <w:style w:type="paragraph" w:customStyle="1" w:styleId="Telobesedila1">
    <w:name w:val="Telo besedila1"/>
    <w:rsid w:val="00A35B71"/>
    <w:pPr>
      <w:spacing w:before="120" w:line="280" w:lineRule="atLeast"/>
      <w:jc w:val="both"/>
    </w:pPr>
    <w:rPr>
      <w:rFonts w:ascii="Arial" w:eastAsia="Times New Roman" w:hAnsi="Arial"/>
      <w:snapToGrid w:val="0"/>
      <w:color w:val="000000"/>
      <w:sz w:val="22"/>
      <w:szCs w:val="22"/>
    </w:rPr>
  </w:style>
  <w:style w:type="paragraph" w:customStyle="1" w:styleId="Telobesedila20">
    <w:name w:val="Telo besedila2"/>
    <w:rsid w:val="00A35B71"/>
    <w:pPr>
      <w:spacing w:before="120" w:line="280" w:lineRule="atLeast"/>
      <w:jc w:val="both"/>
    </w:pPr>
    <w:rPr>
      <w:rFonts w:ascii="Arial" w:eastAsia="Times New Roman" w:hAnsi="Arial"/>
      <w:snapToGrid w:val="0"/>
      <w:color w:val="000000"/>
      <w:sz w:val="22"/>
      <w:szCs w:val="22"/>
    </w:rPr>
  </w:style>
  <w:style w:type="character" w:styleId="Sprotnaopomba-sklic">
    <w:name w:val="footnote reference"/>
    <w:basedOn w:val="Privzetapisavaodstavka"/>
    <w:uiPriority w:val="99"/>
    <w:semiHidden/>
    <w:unhideWhenUsed/>
    <w:rsid w:val="004A6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A6249-E4BB-491B-8EE2-7EB84B75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6056</CharactersWithSpaces>
  <SharedDoc>false</SharedDoc>
  <HLinks>
    <vt:vector size="6" baseType="variant">
      <vt:variant>
        <vt:i4>3932173</vt:i4>
      </vt:variant>
      <vt:variant>
        <vt:i4>3</vt:i4>
      </vt:variant>
      <vt:variant>
        <vt:i4>0</vt:i4>
      </vt:variant>
      <vt:variant>
        <vt:i4>5</vt:i4>
      </vt:variant>
      <vt:variant>
        <vt:lpwstr>mailto:di@zzzs.si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Danila Perhavec</dc:creator>
  <cp:lastModifiedBy>Damjan Kos</cp:lastModifiedBy>
  <cp:revision>7</cp:revision>
  <cp:lastPrinted>2018-09-13T08:55:00Z</cp:lastPrinted>
  <dcterms:created xsi:type="dcterms:W3CDTF">2022-01-24T12:09:00Z</dcterms:created>
  <dcterms:modified xsi:type="dcterms:W3CDTF">2022-01-27T10:34:00Z</dcterms:modified>
</cp:coreProperties>
</file>