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06C6" w14:textId="77777777" w:rsidR="001B4A2E" w:rsidRPr="00CE5C00" w:rsidRDefault="001B4A2E" w:rsidP="00850857">
      <w:pPr>
        <w:pStyle w:val="Telobesedila1"/>
        <w:spacing w:line="240" w:lineRule="auto"/>
        <w:ind w:left="142"/>
        <w:rPr>
          <w:rFonts w:asciiTheme="minorHAnsi" w:hAnsiTheme="minorHAnsi" w:cstheme="minorHAnsi"/>
        </w:rPr>
      </w:pPr>
      <w:bookmarkStart w:id="0" w:name="_GoBack"/>
      <w:bookmarkEnd w:id="0"/>
      <w:r w:rsidRPr="00CE5C00">
        <w:rPr>
          <w:rFonts w:asciiTheme="minorHAnsi" w:hAnsiTheme="minorHAnsi" w:cstheme="minorHAnsi"/>
        </w:rPr>
        <w:t>GRADIVO ZA NOVINARJE</w:t>
      </w:r>
    </w:p>
    <w:p w14:paraId="658AA72E" w14:textId="77777777" w:rsidR="001B4A2E" w:rsidRPr="00CE5C00" w:rsidRDefault="001B4A2E" w:rsidP="00850857">
      <w:pPr>
        <w:pStyle w:val="Telobesedila1"/>
        <w:spacing w:line="240" w:lineRule="auto"/>
        <w:ind w:left="142"/>
        <w:rPr>
          <w:rFonts w:asciiTheme="minorHAnsi" w:hAnsiTheme="minorHAnsi" w:cstheme="minorHAnsi"/>
        </w:rPr>
      </w:pPr>
      <w:r>
        <w:rPr>
          <w:rFonts w:asciiTheme="minorHAnsi" w:hAnsiTheme="minorHAnsi" w:cstheme="minorHAnsi"/>
        </w:rPr>
        <w:t>Ljubljana, 17</w:t>
      </w:r>
      <w:r w:rsidRPr="00CE5C00">
        <w:rPr>
          <w:rFonts w:asciiTheme="minorHAnsi" w:hAnsiTheme="minorHAnsi" w:cstheme="minorHAnsi"/>
        </w:rPr>
        <w:t xml:space="preserve">. </w:t>
      </w:r>
      <w:r>
        <w:rPr>
          <w:rFonts w:asciiTheme="minorHAnsi" w:hAnsiTheme="minorHAnsi" w:cstheme="minorHAnsi"/>
        </w:rPr>
        <w:t>9</w:t>
      </w:r>
      <w:r w:rsidRPr="00CE5C00">
        <w:rPr>
          <w:rFonts w:asciiTheme="minorHAnsi" w:hAnsiTheme="minorHAnsi" w:cstheme="minorHAnsi"/>
        </w:rPr>
        <w:t>. 2019</w:t>
      </w:r>
    </w:p>
    <w:p w14:paraId="133C73F8" w14:textId="77777777" w:rsidR="001B4A2E" w:rsidRPr="00CE5C00" w:rsidRDefault="001B4A2E" w:rsidP="00850857">
      <w:pPr>
        <w:pStyle w:val="Telobesedila20"/>
        <w:spacing w:line="240" w:lineRule="auto"/>
        <w:ind w:left="142"/>
        <w:rPr>
          <w:rFonts w:asciiTheme="minorHAnsi" w:hAnsiTheme="minorHAnsi" w:cstheme="minorHAnsi"/>
        </w:rPr>
      </w:pPr>
      <w:r w:rsidRPr="00CE5C00">
        <w:rPr>
          <w:rFonts w:asciiTheme="minorHAnsi" w:hAnsiTheme="minorHAnsi" w:cstheme="minorHAnsi"/>
        </w:rPr>
        <w:t>PR-ZZZS-</w:t>
      </w:r>
      <w:r>
        <w:rPr>
          <w:rFonts w:asciiTheme="minorHAnsi" w:hAnsiTheme="minorHAnsi" w:cstheme="minorHAnsi"/>
        </w:rPr>
        <w:t>5</w:t>
      </w:r>
      <w:r w:rsidRPr="00CE5C00">
        <w:rPr>
          <w:rFonts w:asciiTheme="minorHAnsi" w:hAnsiTheme="minorHAnsi" w:cstheme="minorHAnsi"/>
        </w:rPr>
        <w:t>/2019</w:t>
      </w:r>
    </w:p>
    <w:p w14:paraId="1139A5EC" w14:textId="77777777" w:rsidR="001B4A2E" w:rsidRDefault="001B4A2E" w:rsidP="00850857">
      <w:pPr>
        <w:pStyle w:val="Telobesedila"/>
        <w:spacing w:line="240" w:lineRule="auto"/>
        <w:ind w:left="142"/>
        <w:jc w:val="center"/>
        <w:rPr>
          <w:rFonts w:cs="Calibri"/>
          <w:b/>
          <w:sz w:val="28"/>
          <w:szCs w:val="28"/>
        </w:rPr>
      </w:pPr>
    </w:p>
    <w:p w14:paraId="6B9F0461" w14:textId="77777777" w:rsidR="001B4A2E" w:rsidRPr="00962B8C" w:rsidRDefault="001B4A2E" w:rsidP="00850857">
      <w:pPr>
        <w:pStyle w:val="Telobesedila"/>
        <w:spacing w:line="240" w:lineRule="auto"/>
        <w:ind w:left="142"/>
        <w:jc w:val="center"/>
        <w:rPr>
          <w:rFonts w:cs="Calibri"/>
          <w:b/>
          <w:sz w:val="28"/>
          <w:szCs w:val="28"/>
        </w:rPr>
      </w:pPr>
    </w:p>
    <w:p w14:paraId="7E69D896" w14:textId="77777777" w:rsidR="00171896" w:rsidRDefault="00171896" w:rsidP="00850857">
      <w:pPr>
        <w:pStyle w:val="Telobesedila2"/>
        <w:spacing w:line="240" w:lineRule="auto"/>
        <w:ind w:left="142"/>
        <w:rPr>
          <w:rFonts w:asciiTheme="minorHAnsi" w:hAnsiTheme="minorHAnsi" w:cstheme="minorHAnsi"/>
          <w:szCs w:val="28"/>
        </w:rPr>
      </w:pPr>
      <w:r>
        <w:rPr>
          <w:rFonts w:asciiTheme="minorHAnsi" w:hAnsiTheme="minorHAnsi" w:cstheme="minorHAnsi"/>
          <w:szCs w:val="28"/>
        </w:rPr>
        <w:t xml:space="preserve">Finančna projekcija poslovanja </w:t>
      </w:r>
    </w:p>
    <w:p w14:paraId="6C93262D" w14:textId="0ECD8B68" w:rsidR="001B4A2E" w:rsidRDefault="001B4A2E" w:rsidP="00850857">
      <w:pPr>
        <w:pStyle w:val="Telobesedila2"/>
        <w:spacing w:line="240" w:lineRule="auto"/>
        <w:ind w:left="142"/>
        <w:rPr>
          <w:rFonts w:asciiTheme="minorHAnsi" w:hAnsiTheme="minorHAnsi" w:cs="Arial"/>
          <w:b w:val="0"/>
          <w:szCs w:val="28"/>
        </w:rPr>
      </w:pPr>
      <w:r w:rsidRPr="00A17405">
        <w:rPr>
          <w:rFonts w:asciiTheme="minorHAnsi" w:hAnsiTheme="minorHAnsi" w:cs="Arial"/>
          <w:szCs w:val="28"/>
        </w:rPr>
        <w:t>Zavod</w:t>
      </w:r>
      <w:r>
        <w:rPr>
          <w:rFonts w:asciiTheme="minorHAnsi" w:hAnsiTheme="minorHAnsi" w:cs="Arial"/>
          <w:szCs w:val="28"/>
        </w:rPr>
        <w:t>a</w:t>
      </w:r>
      <w:r w:rsidRPr="00A17405">
        <w:rPr>
          <w:rFonts w:asciiTheme="minorHAnsi" w:hAnsiTheme="minorHAnsi" w:cs="Arial"/>
          <w:szCs w:val="28"/>
        </w:rPr>
        <w:t xml:space="preserve"> za zdravstveno zavarovanje Slovenije</w:t>
      </w:r>
      <w:r w:rsidR="00171896">
        <w:rPr>
          <w:rFonts w:asciiTheme="minorHAnsi" w:hAnsiTheme="minorHAnsi" w:cs="Arial"/>
          <w:szCs w:val="28"/>
        </w:rPr>
        <w:t xml:space="preserve"> za obdobje 2019-2021</w:t>
      </w:r>
    </w:p>
    <w:p w14:paraId="642C6C67" w14:textId="77777777" w:rsidR="001B4A2E" w:rsidRDefault="001B4A2E" w:rsidP="00850857">
      <w:pPr>
        <w:pStyle w:val="Telobesedila2"/>
        <w:spacing w:line="240" w:lineRule="auto"/>
        <w:ind w:left="142"/>
        <w:rPr>
          <w:rFonts w:ascii="Arial" w:hAnsi="Arial" w:cs="Arial"/>
          <w:b w:val="0"/>
        </w:rPr>
      </w:pPr>
    </w:p>
    <w:p w14:paraId="342E0631" w14:textId="3291F687" w:rsidR="00975D36" w:rsidRDefault="001B4A2E" w:rsidP="00850857">
      <w:pPr>
        <w:autoSpaceDE w:val="0"/>
        <w:autoSpaceDN w:val="0"/>
        <w:adjustRightInd w:val="0"/>
        <w:spacing w:line="240" w:lineRule="auto"/>
        <w:ind w:left="142"/>
        <w:rPr>
          <w:rFonts w:asciiTheme="minorHAnsi" w:hAnsiTheme="minorHAnsi" w:cstheme="minorHAnsi"/>
          <w:b/>
        </w:rPr>
      </w:pPr>
      <w:r w:rsidRPr="00CE5C00">
        <w:rPr>
          <w:rFonts w:asciiTheme="minorHAnsi" w:hAnsiTheme="minorHAnsi" w:cstheme="minorHAnsi"/>
          <w:b/>
          <w:color w:val="000000"/>
        </w:rPr>
        <w:t xml:space="preserve">Upravni odbor Zavoda za zdravstveno zavarovanje Slovenije </w:t>
      </w:r>
      <w:r w:rsidRPr="00CE5C00">
        <w:rPr>
          <w:rFonts w:asciiTheme="minorHAnsi" w:hAnsiTheme="minorHAnsi" w:cstheme="minorHAnsi"/>
          <w:b/>
          <w:bCs/>
          <w:color w:val="000000"/>
        </w:rPr>
        <w:t>(v nadaljevanju: ZZZS)</w:t>
      </w:r>
      <w:r w:rsidRPr="00CE5C00">
        <w:rPr>
          <w:rFonts w:asciiTheme="minorHAnsi" w:hAnsiTheme="minorHAnsi" w:cstheme="minorHAnsi"/>
          <w:b/>
          <w:color w:val="000000"/>
        </w:rPr>
        <w:t xml:space="preserve"> je danes na redni seji </w:t>
      </w:r>
      <w:r w:rsidR="00DB14AC">
        <w:rPr>
          <w:rFonts w:asciiTheme="minorHAnsi" w:hAnsiTheme="minorHAnsi" w:cstheme="minorHAnsi"/>
          <w:b/>
          <w:color w:val="000000"/>
        </w:rPr>
        <w:t xml:space="preserve">med drugim </w:t>
      </w:r>
      <w:r w:rsidRPr="00CE5C00">
        <w:rPr>
          <w:rFonts w:asciiTheme="minorHAnsi" w:hAnsiTheme="minorHAnsi" w:cstheme="minorHAnsi"/>
          <w:b/>
          <w:color w:val="000000"/>
        </w:rPr>
        <w:t xml:space="preserve">obravnaval </w:t>
      </w:r>
      <w:r w:rsidR="00975D36">
        <w:rPr>
          <w:rFonts w:asciiTheme="minorHAnsi" w:hAnsiTheme="minorHAnsi" w:cstheme="minorHAnsi"/>
          <w:b/>
          <w:color w:val="000000"/>
        </w:rPr>
        <w:t xml:space="preserve">in sprejel </w:t>
      </w:r>
      <w:r w:rsidR="00975D36" w:rsidRPr="00F47774">
        <w:rPr>
          <w:rFonts w:asciiTheme="minorHAnsi" w:hAnsiTheme="minorHAnsi" w:cstheme="minorHAnsi"/>
          <w:b/>
        </w:rPr>
        <w:t>fina</w:t>
      </w:r>
      <w:r w:rsidR="00975D36">
        <w:rPr>
          <w:rFonts w:asciiTheme="minorHAnsi" w:hAnsiTheme="minorHAnsi" w:cstheme="minorHAnsi"/>
          <w:b/>
        </w:rPr>
        <w:t>nčno projekcijo</w:t>
      </w:r>
      <w:r w:rsidR="00975D36" w:rsidRPr="00F47774">
        <w:rPr>
          <w:rFonts w:asciiTheme="minorHAnsi" w:hAnsiTheme="minorHAnsi" w:cstheme="minorHAnsi"/>
          <w:b/>
        </w:rPr>
        <w:t xml:space="preserve"> poslovanja ZZZS za </w:t>
      </w:r>
      <w:r w:rsidR="00975D36">
        <w:rPr>
          <w:rFonts w:asciiTheme="minorHAnsi" w:hAnsiTheme="minorHAnsi" w:cstheme="minorHAnsi"/>
          <w:b/>
        </w:rPr>
        <w:t xml:space="preserve">obdobje 2019–2021. </w:t>
      </w:r>
    </w:p>
    <w:p w14:paraId="14AEDF7E" w14:textId="24AB658C" w:rsidR="00975D36" w:rsidRDefault="00975D36" w:rsidP="00850857">
      <w:pPr>
        <w:autoSpaceDE w:val="0"/>
        <w:autoSpaceDN w:val="0"/>
        <w:adjustRightInd w:val="0"/>
        <w:spacing w:line="240" w:lineRule="auto"/>
        <w:ind w:left="142"/>
        <w:rPr>
          <w:rFonts w:asciiTheme="minorHAnsi" w:hAnsiTheme="minorHAnsi" w:cstheme="minorHAnsi"/>
          <w:b/>
          <w:color w:val="000000"/>
        </w:rPr>
      </w:pPr>
    </w:p>
    <w:p w14:paraId="455074DF" w14:textId="7F2ED623" w:rsidR="00975D36" w:rsidRPr="007F44D4" w:rsidRDefault="00975D36" w:rsidP="00850857">
      <w:pPr>
        <w:spacing w:line="240" w:lineRule="auto"/>
        <w:ind w:left="142"/>
        <w:rPr>
          <w:rFonts w:asciiTheme="minorHAnsi" w:hAnsiTheme="minorHAnsi" w:cstheme="minorHAnsi"/>
        </w:rPr>
      </w:pPr>
      <w:r w:rsidRPr="007F44D4">
        <w:rPr>
          <w:rFonts w:asciiTheme="minorHAnsi" w:hAnsiTheme="minorHAnsi" w:cstheme="minorHAnsi"/>
        </w:rPr>
        <w:t>Finančna projekcija poslovanja ZZZS v obdobju 2019 do 2021 upošteva veljavne pravne podlage in javnofinančne zmožnosti na način, da ZZZS načrtuje najmanj izravnano finančno poslovanje v okviru najvišjega obsega izdatkov za zdravstveno blagajno</w:t>
      </w:r>
      <w:r>
        <w:rPr>
          <w:rFonts w:asciiTheme="minorHAnsi" w:hAnsiTheme="minorHAnsi" w:cstheme="minorHAnsi"/>
        </w:rPr>
        <w:t>, ki ga določi Državni zbor RS</w:t>
      </w:r>
      <w:r w:rsidRPr="007F44D4">
        <w:rPr>
          <w:rFonts w:asciiTheme="minorHAnsi" w:hAnsiTheme="minorHAnsi" w:cstheme="minorHAnsi"/>
        </w:rPr>
        <w:t xml:space="preserve"> </w:t>
      </w:r>
      <w:r>
        <w:rPr>
          <w:rFonts w:asciiTheme="minorHAnsi" w:hAnsiTheme="minorHAnsi" w:cstheme="minorHAnsi"/>
        </w:rPr>
        <w:t>z Odlokom</w:t>
      </w:r>
      <w:r w:rsidRPr="007F44D4">
        <w:rPr>
          <w:rFonts w:asciiTheme="minorHAnsi" w:hAnsiTheme="minorHAnsi" w:cstheme="minorHAnsi"/>
        </w:rPr>
        <w:t xml:space="preserve"> o okviru za pripravo proračunov sektorja država za </w:t>
      </w:r>
      <w:r>
        <w:rPr>
          <w:rFonts w:asciiTheme="minorHAnsi" w:hAnsiTheme="minorHAnsi" w:cstheme="minorHAnsi"/>
        </w:rPr>
        <w:t>navedeno obdobje (v nadaljevanju: Odlok)</w:t>
      </w:r>
      <w:r w:rsidRPr="007F44D4">
        <w:rPr>
          <w:rFonts w:asciiTheme="minorHAnsi" w:hAnsiTheme="minorHAnsi" w:cstheme="minorHAnsi"/>
        </w:rPr>
        <w:t xml:space="preserve">, kar je skladno s Programom stabilnosti in Zakonom o fiskalnem pravilu. </w:t>
      </w:r>
    </w:p>
    <w:p w14:paraId="58F4C2F5" w14:textId="77777777" w:rsidR="00975D36" w:rsidRDefault="00975D36" w:rsidP="00850857">
      <w:pPr>
        <w:autoSpaceDE w:val="0"/>
        <w:autoSpaceDN w:val="0"/>
        <w:adjustRightInd w:val="0"/>
        <w:spacing w:line="240" w:lineRule="auto"/>
        <w:ind w:left="142"/>
        <w:rPr>
          <w:rFonts w:asciiTheme="minorHAnsi" w:hAnsiTheme="minorHAnsi" w:cstheme="minorHAnsi"/>
          <w:b/>
          <w:color w:val="000000"/>
        </w:rPr>
      </w:pPr>
    </w:p>
    <w:p w14:paraId="3A100789" w14:textId="6E47DBA8" w:rsidR="00975D36" w:rsidRPr="0085125D" w:rsidRDefault="00975D36" w:rsidP="00850857">
      <w:pPr>
        <w:spacing w:line="240" w:lineRule="auto"/>
        <w:ind w:left="142"/>
        <w:rPr>
          <w:rFonts w:asciiTheme="minorHAnsi" w:hAnsiTheme="minorHAnsi" w:cstheme="minorHAnsi"/>
        </w:rPr>
      </w:pPr>
      <w:r>
        <w:rPr>
          <w:rFonts w:asciiTheme="minorHAnsi" w:hAnsiTheme="minorHAnsi" w:cstheme="minorHAnsi"/>
        </w:rPr>
        <w:t xml:space="preserve">Predvideni prihodki ZZZS bodo v letu 2020 glede na leto 2019 večji za 225 milijonov, odhodki pa za 266 milijonov evrov. Finančni pogoji poslovanja ZZZS kljub večji dovoljeni porabi v letu 2020 glede na leto 2019 z vidika namena porabe na odhodkovni strani niso ugodni, saj </w:t>
      </w:r>
      <w:r w:rsidRPr="0085125D">
        <w:rPr>
          <w:rFonts w:asciiTheme="minorHAnsi" w:hAnsiTheme="minorHAnsi" w:cstheme="minorHAnsi"/>
        </w:rPr>
        <w:t xml:space="preserve">bo moral ZZZS </w:t>
      </w:r>
      <w:r>
        <w:rPr>
          <w:rFonts w:asciiTheme="minorHAnsi" w:hAnsiTheme="minorHAnsi" w:cstheme="minorHAnsi"/>
        </w:rPr>
        <w:t xml:space="preserve">kar eno tretjino povečanih odhodkov v letu 2020 glede na leto 2019 (90 milijonov evrov) nameniti za </w:t>
      </w:r>
      <w:r w:rsidRPr="0085125D">
        <w:rPr>
          <w:rFonts w:asciiTheme="minorHAnsi" w:hAnsiTheme="minorHAnsi" w:cstheme="minorHAnsi"/>
        </w:rPr>
        <w:t>plač</w:t>
      </w:r>
      <w:r>
        <w:rPr>
          <w:rFonts w:asciiTheme="minorHAnsi" w:hAnsiTheme="minorHAnsi" w:cstheme="minorHAnsi"/>
        </w:rPr>
        <w:t>ilo</w:t>
      </w:r>
      <w:r w:rsidRPr="0085125D">
        <w:rPr>
          <w:rFonts w:asciiTheme="minorHAnsi" w:hAnsiTheme="minorHAnsi" w:cstheme="minorHAnsi"/>
        </w:rPr>
        <w:t xml:space="preserve"> nepo</w:t>
      </w:r>
      <w:r>
        <w:rPr>
          <w:rFonts w:asciiTheme="minorHAnsi" w:hAnsiTheme="minorHAnsi" w:cstheme="minorHAnsi"/>
        </w:rPr>
        <w:t>ravnanih</w:t>
      </w:r>
      <w:r w:rsidRPr="0085125D">
        <w:rPr>
          <w:rFonts w:asciiTheme="minorHAnsi" w:hAnsiTheme="minorHAnsi" w:cstheme="minorHAnsi"/>
        </w:rPr>
        <w:t xml:space="preserve"> obveznosti do izvajalcev zdravstvenih storitev za leto 2019 zaradi omejitve najvišjega obsega izdatkov za zdravstveno </w:t>
      </w:r>
      <w:r>
        <w:rPr>
          <w:rFonts w:asciiTheme="minorHAnsi" w:hAnsiTheme="minorHAnsi" w:cstheme="minorHAnsi"/>
        </w:rPr>
        <w:t>blagajno po Odloku za leto 2019.</w:t>
      </w:r>
      <w:r w:rsidRPr="0085125D">
        <w:rPr>
          <w:rFonts w:asciiTheme="minorHAnsi" w:hAnsiTheme="minorHAnsi" w:cstheme="minorHAnsi"/>
        </w:rPr>
        <w:t xml:space="preserve"> </w:t>
      </w:r>
      <w:r>
        <w:rPr>
          <w:rFonts w:asciiTheme="minorHAnsi" w:hAnsiTheme="minorHAnsi" w:cstheme="minorHAnsi"/>
        </w:rPr>
        <w:t>H</w:t>
      </w:r>
      <w:r w:rsidRPr="0085125D">
        <w:rPr>
          <w:rFonts w:asciiTheme="minorHAnsi" w:hAnsiTheme="minorHAnsi" w:cstheme="minorHAnsi"/>
        </w:rPr>
        <w:t>krati bo ZZZS v letu 2019 računovodsko izkazal presežek p</w:t>
      </w:r>
      <w:r>
        <w:rPr>
          <w:rFonts w:asciiTheme="minorHAnsi" w:hAnsiTheme="minorHAnsi" w:cstheme="minorHAnsi"/>
        </w:rPr>
        <w:t>rihodkov nad odhodki v višini 41,2 milijona evrov, d</w:t>
      </w:r>
      <w:r w:rsidRPr="0085125D">
        <w:rPr>
          <w:rFonts w:asciiTheme="minorHAnsi" w:hAnsiTheme="minorHAnsi" w:cstheme="minorHAnsi"/>
        </w:rPr>
        <w:t xml:space="preserve">ejansko </w:t>
      </w:r>
      <w:r>
        <w:rPr>
          <w:rFonts w:asciiTheme="minorHAnsi" w:hAnsiTheme="minorHAnsi" w:cstheme="minorHAnsi"/>
        </w:rPr>
        <w:t xml:space="preserve">pa </w:t>
      </w:r>
      <w:r w:rsidRPr="0085125D">
        <w:rPr>
          <w:rFonts w:asciiTheme="minorHAnsi" w:hAnsiTheme="minorHAnsi" w:cstheme="minorHAnsi"/>
        </w:rPr>
        <w:t>bo imel konec leta 2019 neporavnane obveznosti</w:t>
      </w:r>
      <w:r>
        <w:rPr>
          <w:rFonts w:asciiTheme="minorHAnsi" w:hAnsiTheme="minorHAnsi" w:cstheme="minorHAnsi"/>
        </w:rPr>
        <w:t xml:space="preserve"> v višini 44,8 milijona evrov. Zaradi teh zaostankov posledično ni zagotovljeno večje povečanje programov v letu 2020, ki so jih izvajalci zdravstvenih storitev sposobni izvesti in bi lahko prispevali h krajšanju čakalnih dob. ZZZS se je v z</w:t>
      </w:r>
      <w:r w:rsidR="00171896">
        <w:rPr>
          <w:rFonts w:asciiTheme="minorHAnsi" w:hAnsiTheme="minorHAnsi" w:cstheme="minorHAnsi"/>
        </w:rPr>
        <w:t>adnjih mesecih močno prizadeval</w:t>
      </w:r>
      <w:r>
        <w:rPr>
          <w:rFonts w:asciiTheme="minorHAnsi" w:hAnsiTheme="minorHAnsi" w:cstheme="minorHAnsi"/>
        </w:rPr>
        <w:t xml:space="preserve"> za spremembo Odloka oziroma za povečanje najvišjega obsega izdatkov za zdravstveno blagajno za leto 2020 in s tem za porabo predvidenega presežka iz leta 2019 v letu 2020, vendar je zlasti Ministrstvo za finance nasprotovalo spremembi Odloka.</w:t>
      </w:r>
    </w:p>
    <w:p w14:paraId="506F7FEB" w14:textId="77777777" w:rsidR="001B4A2E" w:rsidRDefault="001B4A2E" w:rsidP="00850857">
      <w:pPr>
        <w:autoSpaceDE w:val="0"/>
        <w:autoSpaceDN w:val="0"/>
        <w:adjustRightInd w:val="0"/>
        <w:spacing w:line="240" w:lineRule="auto"/>
        <w:ind w:left="142"/>
        <w:rPr>
          <w:rFonts w:asciiTheme="minorHAnsi" w:hAnsiTheme="minorHAnsi" w:cstheme="minorHAnsi"/>
          <w:color w:val="000000"/>
        </w:rPr>
      </w:pPr>
    </w:p>
    <w:p w14:paraId="7D883757" w14:textId="77777777" w:rsidR="00850857" w:rsidRPr="00FD7983" w:rsidRDefault="00850857" w:rsidP="00850857">
      <w:pPr>
        <w:spacing w:line="240" w:lineRule="auto"/>
        <w:ind w:left="142"/>
        <w:rPr>
          <w:rFonts w:cs="Calibri"/>
        </w:rPr>
      </w:pPr>
      <w:r w:rsidRPr="00FD7983">
        <w:rPr>
          <w:rFonts w:cs="Calibri"/>
        </w:rPr>
        <w:t xml:space="preserve">Leto 2020 je finančno že obremenjeno z dodatno naloženimi obveznostmi v višini 76,5 milijona evrov, ki izhajajo: (1) iz sklepov Vlade v zvezi s spornimi vprašanji Splošnega dogovora z aneksom 1 in 2 za leto 2019 in imajo učinek v letu 2020 (41,5 milijona evrov), (2) iz Sporazuma o razreševanju stavkovnih zahtev iz leta 2018 (25 milijonov evrov) in (3) iz predvidenega aneksa 3 k Splošnemu dogovoru za leto 2019, po katerem Ministrstvo za zdravje namerava povečati obseg programov za skrajševanje čakalnih dob v letu 2019, izvajalci pa bi prejeli plačilo s končnim letnim obračunom za leto 2019 v letu 2020 v ocenjeni višini 10 milijonov evrov.   </w:t>
      </w:r>
    </w:p>
    <w:p w14:paraId="6DBFF1EC" w14:textId="77777777" w:rsidR="00850857" w:rsidRPr="00FD7983" w:rsidRDefault="00850857" w:rsidP="00850857">
      <w:pPr>
        <w:spacing w:line="240" w:lineRule="auto"/>
        <w:ind w:left="142"/>
        <w:rPr>
          <w:rFonts w:cs="Calibri"/>
        </w:rPr>
      </w:pPr>
    </w:p>
    <w:p w14:paraId="77B0EB88" w14:textId="1CBFC8B2" w:rsidR="00850857" w:rsidRPr="00CA05F8" w:rsidRDefault="00850857" w:rsidP="00850857">
      <w:pPr>
        <w:spacing w:line="240" w:lineRule="auto"/>
        <w:ind w:left="142"/>
        <w:contextualSpacing/>
        <w:rPr>
          <w:rFonts w:cs="Calibri"/>
        </w:rPr>
      </w:pPr>
      <w:r w:rsidRPr="00CA05F8">
        <w:rPr>
          <w:rFonts w:cs="Calibri"/>
        </w:rPr>
        <w:lastRenderedPageBreak/>
        <w:t>Razpoložljiva sredstva</w:t>
      </w:r>
      <w:r>
        <w:rPr>
          <w:rFonts w:cs="Calibri"/>
        </w:rPr>
        <w:t xml:space="preserve"> v višini 113,2 milijona evrov</w:t>
      </w:r>
      <w:r w:rsidRPr="00CA05F8">
        <w:rPr>
          <w:rFonts w:cs="Calibri"/>
        </w:rPr>
        <w:t xml:space="preserve"> glede na dovoljeno porabo po Odloku, se nameni za: (1) uresni</w:t>
      </w:r>
      <w:r w:rsidR="00171896">
        <w:rPr>
          <w:rFonts w:cs="Calibri"/>
        </w:rPr>
        <w:t>čevanje obstoječih pravic iz obveznega zdravstvenega zavarovanja</w:t>
      </w:r>
      <w:r w:rsidRPr="00CA05F8">
        <w:rPr>
          <w:rFonts w:cs="Calibri"/>
        </w:rPr>
        <w:t xml:space="preserve"> skladno z izhodišči in trendi rasti po posameznih namenih porabe (90,3 milijona evrov) in (2) povečanje obsega programov in pravic ter boljše vrednotenje programov le v višini preostalih sredstev po pokritju vseh ostalih zakonskih obveznosti (22,9 milijona evrov): širitev programov za skrajšanje čakalnih dob</w:t>
      </w:r>
      <w:r>
        <w:rPr>
          <w:rStyle w:val="Sprotnaopomba-sklic"/>
          <w:rFonts w:cs="Calibri"/>
        </w:rPr>
        <w:footnoteReference w:id="1"/>
      </w:r>
      <w:r w:rsidRPr="00CA05F8">
        <w:rPr>
          <w:rFonts w:cs="Calibri"/>
        </w:rPr>
        <w:t xml:space="preserve"> </w:t>
      </w:r>
      <w:r w:rsidRPr="00CA05F8">
        <w:rPr>
          <w:rFonts w:asciiTheme="minorHAnsi" w:hAnsiTheme="minorHAnsi" w:cstheme="minorHAnsi"/>
        </w:rPr>
        <w:t>(5 milijonov evrov, ki bodo zagotovljeni s prihranki iz naslova sistemskih sprememb na področju pravic do nadomestila plače med začasno zadržanostjo od dela</w:t>
      </w:r>
      <w:r>
        <w:rPr>
          <w:rFonts w:asciiTheme="minorHAnsi" w:hAnsiTheme="minorHAnsi" w:cstheme="minorHAnsi"/>
        </w:rPr>
        <w:t xml:space="preserve">, ki bodo imeli finančne učinke že </w:t>
      </w:r>
      <w:r w:rsidRPr="00CA05F8">
        <w:rPr>
          <w:rFonts w:asciiTheme="minorHAnsi" w:hAnsiTheme="minorHAnsi" w:cstheme="minorHAnsi"/>
        </w:rPr>
        <w:t>v letu 2020),</w:t>
      </w:r>
      <w:r w:rsidRPr="00CA05F8">
        <w:rPr>
          <w:rFonts w:cs="Calibri"/>
        </w:rPr>
        <w:t xml:space="preserve"> širitev pravic na področju medicinskih pripomočkov (5 milijonov evrov), draga bolnišnična zdravila (5,2 milijona evrov), uskladitev cen zdravstvenih storitev akutne bolnišnične obravnave glede na rezultate nacionalne stroškovne analize (5 milijonov evrov), širitev programa Dora in Svit (0,8 milijona evrov)</w:t>
      </w:r>
      <w:r w:rsidR="00171896">
        <w:rPr>
          <w:rFonts w:cs="Calibri"/>
        </w:rPr>
        <w:t xml:space="preserve"> in</w:t>
      </w:r>
      <w:r w:rsidRPr="00CA05F8">
        <w:rPr>
          <w:rFonts w:cs="Calibri"/>
        </w:rPr>
        <w:t xml:space="preserve"> širitev na področju cepiv (1,9 milijona evrov). </w:t>
      </w:r>
    </w:p>
    <w:p w14:paraId="608B2F6A" w14:textId="3F583595" w:rsidR="001B4A2E" w:rsidRDefault="001B4A2E" w:rsidP="00850857">
      <w:pPr>
        <w:autoSpaceDE w:val="0"/>
        <w:autoSpaceDN w:val="0"/>
        <w:adjustRightInd w:val="0"/>
        <w:spacing w:line="240" w:lineRule="auto"/>
        <w:ind w:left="142"/>
        <w:rPr>
          <w:rFonts w:asciiTheme="minorHAnsi" w:hAnsiTheme="minorHAnsi" w:cstheme="minorHAnsi"/>
          <w:color w:val="000000"/>
        </w:rPr>
      </w:pPr>
    </w:p>
    <w:p w14:paraId="38E31C0D" w14:textId="77777777" w:rsidR="00850857" w:rsidRPr="00FD7983" w:rsidRDefault="00850857" w:rsidP="00850857">
      <w:pPr>
        <w:spacing w:line="240" w:lineRule="auto"/>
        <w:ind w:left="142"/>
        <w:rPr>
          <w:rFonts w:cs="Calibri"/>
        </w:rPr>
      </w:pPr>
      <w:r w:rsidRPr="00FD7983">
        <w:rPr>
          <w:rFonts w:cs="Calibri"/>
        </w:rPr>
        <w:t>V letu 2021 so prihodki in odhodki večji od predvidenih za leto 2020 za 197 milijonov evrov, povečana pa je tudi zmožnost financiranja ZZZS, saj je v letu 2020 in v letu 2021 predvideno sprotno poravnavanje tekočih obveznosti. V letu 2021 je za povečanje obsega programov in pravic ter za boljše vrednotenje programov glede na potrebe v zdravstvu mogoče nameniti okoli 169 milijonov evrov.</w:t>
      </w:r>
    </w:p>
    <w:p w14:paraId="7BB7E946" w14:textId="77777777" w:rsidR="00850857" w:rsidRPr="00FD7983" w:rsidRDefault="00850857" w:rsidP="00850857">
      <w:pPr>
        <w:spacing w:line="240" w:lineRule="auto"/>
        <w:ind w:left="142"/>
        <w:rPr>
          <w:rFonts w:cs="Calibri"/>
        </w:rPr>
      </w:pPr>
    </w:p>
    <w:p w14:paraId="597D185E" w14:textId="60DCD703" w:rsidR="00850857" w:rsidRDefault="00850857" w:rsidP="00850857">
      <w:pPr>
        <w:spacing w:line="240" w:lineRule="auto"/>
        <w:ind w:left="142"/>
        <w:rPr>
          <w:rFonts w:cs="Calibri"/>
        </w:rPr>
      </w:pPr>
      <w:r w:rsidRPr="00FD7983">
        <w:rPr>
          <w:rFonts w:cs="Calibri"/>
        </w:rPr>
        <w:t xml:space="preserve">Projekcija bilance prihodkov in odhodkov, računa finančnih terjatev in naložb ter računa financiranja za leti </w:t>
      </w:r>
      <w:r w:rsidR="007C4C18">
        <w:rPr>
          <w:rFonts w:cs="Calibri"/>
        </w:rPr>
        <w:t xml:space="preserve">2019, </w:t>
      </w:r>
      <w:r w:rsidRPr="00FD7983">
        <w:rPr>
          <w:rFonts w:cs="Calibri"/>
        </w:rPr>
        <w:t>2020 in 2021 je pripravljena v tekočih cenah v evrih in predvideva:</w:t>
      </w:r>
    </w:p>
    <w:p w14:paraId="7C577D5D" w14:textId="2E431224" w:rsidR="00850857" w:rsidRDefault="00850857" w:rsidP="00850857">
      <w:pPr>
        <w:spacing w:line="240" w:lineRule="auto"/>
        <w:ind w:left="142"/>
        <w:rPr>
          <w:rFonts w:cs="Calibri"/>
        </w:rPr>
      </w:pPr>
    </w:p>
    <w:tbl>
      <w:tblPr>
        <w:tblStyle w:val="Tabelamrea"/>
        <w:tblW w:w="8358" w:type="dxa"/>
        <w:tblInd w:w="142" w:type="dxa"/>
        <w:tblLook w:val="04A0" w:firstRow="1" w:lastRow="0" w:firstColumn="1" w:lastColumn="0" w:noHBand="0" w:noVBand="1"/>
      </w:tblPr>
      <w:tblGrid>
        <w:gridCol w:w="4105"/>
        <w:gridCol w:w="1265"/>
        <w:gridCol w:w="1494"/>
        <w:gridCol w:w="1494"/>
      </w:tblGrid>
      <w:tr w:rsidR="007C4C18" w14:paraId="45D0CB4C" w14:textId="77777777" w:rsidTr="003A6F9A">
        <w:tc>
          <w:tcPr>
            <w:tcW w:w="4158" w:type="dxa"/>
          </w:tcPr>
          <w:p w14:paraId="20421908" w14:textId="77777777" w:rsidR="003A6F9A" w:rsidRDefault="003A6F9A" w:rsidP="00850857">
            <w:pPr>
              <w:spacing w:line="240" w:lineRule="auto"/>
              <w:rPr>
                <w:rFonts w:cs="Calibri"/>
              </w:rPr>
            </w:pPr>
          </w:p>
        </w:tc>
        <w:tc>
          <w:tcPr>
            <w:tcW w:w="1204" w:type="dxa"/>
          </w:tcPr>
          <w:p w14:paraId="22C71B74" w14:textId="0876F6D6" w:rsidR="003A6F9A" w:rsidRPr="007C4C18" w:rsidRDefault="003A6F9A" w:rsidP="00171896">
            <w:pPr>
              <w:spacing w:line="240" w:lineRule="auto"/>
              <w:jc w:val="center"/>
              <w:rPr>
                <w:rFonts w:cs="Calibri"/>
                <w:b/>
                <w:sz w:val="18"/>
                <w:szCs w:val="18"/>
              </w:rPr>
            </w:pPr>
            <w:r w:rsidRPr="007C4C18">
              <w:rPr>
                <w:rFonts w:cs="Calibri"/>
                <w:b/>
                <w:sz w:val="18"/>
                <w:szCs w:val="18"/>
              </w:rPr>
              <w:t>LETO 2019 (projekcija</w:t>
            </w:r>
            <w:r w:rsidR="00171896" w:rsidRPr="007C4C18">
              <w:rPr>
                <w:rFonts w:cs="Calibri"/>
                <w:b/>
                <w:sz w:val="18"/>
                <w:szCs w:val="18"/>
              </w:rPr>
              <w:t xml:space="preserve"> v okviru Odloka</w:t>
            </w:r>
            <w:r w:rsidRPr="007C4C18">
              <w:rPr>
                <w:rFonts w:cs="Calibri"/>
                <w:b/>
                <w:sz w:val="18"/>
                <w:szCs w:val="18"/>
              </w:rPr>
              <w:t>)</w:t>
            </w:r>
          </w:p>
        </w:tc>
        <w:tc>
          <w:tcPr>
            <w:tcW w:w="1498" w:type="dxa"/>
          </w:tcPr>
          <w:p w14:paraId="4B74F8EC" w14:textId="7A3626C7" w:rsidR="003A6F9A" w:rsidRPr="007C4C18" w:rsidRDefault="003A6F9A" w:rsidP="00171896">
            <w:pPr>
              <w:spacing w:line="240" w:lineRule="auto"/>
              <w:jc w:val="center"/>
              <w:rPr>
                <w:rFonts w:cs="Calibri"/>
                <w:b/>
                <w:sz w:val="18"/>
                <w:szCs w:val="18"/>
              </w:rPr>
            </w:pPr>
            <w:r w:rsidRPr="007C4C18">
              <w:rPr>
                <w:rFonts w:cs="Calibri"/>
                <w:b/>
                <w:sz w:val="18"/>
                <w:szCs w:val="18"/>
              </w:rPr>
              <w:t>LETO 2020</w:t>
            </w:r>
          </w:p>
        </w:tc>
        <w:tc>
          <w:tcPr>
            <w:tcW w:w="1498" w:type="dxa"/>
          </w:tcPr>
          <w:p w14:paraId="617E5005" w14:textId="0788B62D" w:rsidR="003A6F9A" w:rsidRPr="007C4C18" w:rsidRDefault="003A6F9A" w:rsidP="00171896">
            <w:pPr>
              <w:spacing w:line="240" w:lineRule="auto"/>
              <w:jc w:val="center"/>
              <w:rPr>
                <w:rFonts w:cs="Calibri"/>
                <w:b/>
                <w:sz w:val="18"/>
                <w:szCs w:val="18"/>
              </w:rPr>
            </w:pPr>
            <w:r w:rsidRPr="007C4C18">
              <w:rPr>
                <w:rFonts w:cs="Calibri"/>
                <w:b/>
                <w:sz w:val="18"/>
                <w:szCs w:val="18"/>
              </w:rPr>
              <w:t>LETO 2021</w:t>
            </w:r>
          </w:p>
        </w:tc>
      </w:tr>
      <w:tr w:rsidR="007C4C18" w14:paraId="0C3B722F" w14:textId="77777777" w:rsidTr="003A6F9A">
        <w:tc>
          <w:tcPr>
            <w:tcW w:w="4158" w:type="dxa"/>
          </w:tcPr>
          <w:p w14:paraId="761409A2" w14:textId="66B4B6A1" w:rsidR="003A6F9A" w:rsidRPr="007C4C18" w:rsidRDefault="003A6F9A" w:rsidP="003A6F9A">
            <w:pPr>
              <w:rPr>
                <w:rFonts w:asciiTheme="minorHAnsi" w:hAnsiTheme="minorHAnsi" w:cstheme="minorHAnsi"/>
                <w:i/>
                <w:sz w:val="18"/>
                <w:szCs w:val="18"/>
              </w:rPr>
            </w:pPr>
            <w:r w:rsidRPr="007C4C18">
              <w:rPr>
                <w:rFonts w:asciiTheme="minorHAnsi" w:hAnsiTheme="minorHAnsi" w:cstheme="minorHAnsi"/>
                <w:i/>
                <w:sz w:val="18"/>
                <w:szCs w:val="18"/>
              </w:rPr>
              <w:t xml:space="preserve">A. Bilanca prihodkov in odhodkov: </w:t>
            </w:r>
          </w:p>
        </w:tc>
        <w:tc>
          <w:tcPr>
            <w:tcW w:w="1204" w:type="dxa"/>
          </w:tcPr>
          <w:p w14:paraId="79C282AF" w14:textId="77777777" w:rsidR="003A6F9A" w:rsidRPr="007C4C18" w:rsidRDefault="003A6F9A" w:rsidP="00850857">
            <w:pPr>
              <w:spacing w:line="240" w:lineRule="auto"/>
              <w:rPr>
                <w:rFonts w:asciiTheme="minorHAnsi" w:hAnsiTheme="minorHAnsi" w:cstheme="minorHAnsi"/>
                <w:sz w:val="18"/>
                <w:szCs w:val="18"/>
              </w:rPr>
            </w:pPr>
          </w:p>
        </w:tc>
        <w:tc>
          <w:tcPr>
            <w:tcW w:w="1498" w:type="dxa"/>
          </w:tcPr>
          <w:p w14:paraId="361C7713" w14:textId="77777777" w:rsidR="003A6F9A" w:rsidRPr="007C4C18" w:rsidRDefault="003A6F9A" w:rsidP="00850857">
            <w:pPr>
              <w:spacing w:line="240" w:lineRule="auto"/>
              <w:rPr>
                <w:rFonts w:asciiTheme="minorHAnsi" w:hAnsiTheme="minorHAnsi" w:cstheme="minorHAnsi"/>
                <w:sz w:val="18"/>
                <w:szCs w:val="18"/>
              </w:rPr>
            </w:pPr>
          </w:p>
        </w:tc>
        <w:tc>
          <w:tcPr>
            <w:tcW w:w="1498" w:type="dxa"/>
          </w:tcPr>
          <w:p w14:paraId="7D10E559" w14:textId="77777777" w:rsidR="003A6F9A" w:rsidRPr="007C4C18" w:rsidRDefault="003A6F9A" w:rsidP="00850857">
            <w:pPr>
              <w:spacing w:line="240" w:lineRule="auto"/>
              <w:rPr>
                <w:rFonts w:asciiTheme="minorHAnsi" w:hAnsiTheme="minorHAnsi" w:cstheme="minorHAnsi"/>
                <w:sz w:val="18"/>
                <w:szCs w:val="18"/>
              </w:rPr>
            </w:pPr>
          </w:p>
        </w:tc>
      </w:tr>
      <w:tr w:rsidR="007C4C18" w14:paraId="438B1D1C" w14:textId="77777777" w:rsidTr="003A6F9A">
        <w:tc>
          <w:tcPr>
            <w:tcW w:w="4158" w:type="dxa"/>
          </w:tcPr>
          <w:p w14:paraId="5F982973" w14:textId="6B7AC40C" w:rsidR="003A6F9A" w:rsidRPr="007C4C18" w:rsidRDefault="003A6F9A" w:rsidP="00850857">
            <w:pPr>
              <w:spacing w:line="240" w:lineRule="auto"/>
              <w:rPr>
                <w:rFonts w:asciiTheme="minorHAnsi" w:hAnsiTheme="minorHAnsi" w:cstheme="minorHAnsi"/>
                <w:sz w:val="18"/>
                <w:szCs w:val="18"/>
              </w:rPr>
            </w:pPr>
            <w:r w:rsidRPr="007C4C18">
              <w:rPr>
                <w:rFonts w:asciiTheme="minorHAnsi" w:hAnsiTheme="minorHAnsi" w:cstheme="minorHAnsi"/>
                <w:sz w:val="18"/>
                <w:szCs w:val="18"/>
              </w:rPr>
              <w:t>Prihodki</w:t>
            </w:r>
          </w:p>
        </w:tc>
        <w:tc>
          <w:tcPr>
            <w:tcW w:w="1204" w:type="dxa"/>
          </w:tcPr>
          <w:p w14:paraId="6B7AF957" w14:textId="6164D2AF" w:rsidR="003A6F9A" w:rsidRPr="007C4C18" w:rsidRDefault="00171896"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3.094.890.986</w:t>
            </w:r>
          </w:p>
        </w:tc>
        <w:tc>
          <w:tcPr>
            <w:tcW w:w="1498" w:type="dxa"/>
          </w:tcPr>
          <w:p w14:paraId="67BC7344" w14:textId="36B0084C"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3.320.000.000</w:t>
            </w:r>
          </w:p>
        </w:tc>
        <w:tc>
          <w:tcPr>
            <w:tcW w:w="1498" w:type="dxa"/>
          </w:tcPr>
          <w:p w14:paraId="439EF0DD" w14:textId="4888CC2B"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3.516.639.848</w:t>
            </w:r>
          </w:p>
        </w:tc>
      </w:tr>
      <w:tr w:rsidR="007C4C18" w14:paraId="69AF2F61" w14:textId="77777777" w:rsidTr="003A6F9A">
        <w:tc>
          <w:tcPr>
            <w:tcW w:w="4158" w:type="dxa"/>
          </w:tcPr>
          <w:p w14:paraId="4AE8984F" w14:textId="141324CD" w:rsidR="003A6F9A" w:rsidRPr="007C4C18" w:rsidRDefault="003A6F9A" w:rsidP="003A6F9A">
            <w:pPr>
              <w:spacing w:line="240" w:lineRule="auto"/>
              <w:rPr>
                <w:rFonts w:asciiTheme="minorHAnsi" w:hAnsiTheme="minorHAnsi" w:cstheme="minorHAnsi"/>
                <w:sz w:val="18"/>
                <w:szCs w:val="18"/>
              </w:rPr>
            </w:pPr>
            <w:r w:rsidRPr="007C4C18">
              <w:rPr>
                <w:rFonts w:asciiTheme="minorHAnsi" w:hAnsiTheme="minorHAnsi" w:cstheme="minorHAnsi"/>
                <w:sz w:val="18"/>
                <w:szCs w:val="18"/>
              </w:rPr>
              <w:t>Odhodki</w:t>
            </w:r>
          </w:p>
        </w:tc>
        <w:tc>
          <w:tcPr>
            <w:tcW w:w="1204" w:type="dxa"/>
          </w:tcPr>
          <w:p w14:paraId="5827E012" w14:textId="3D4C12B2" w:rsidR="003A6F9A" w:rsidRPr="007C4C18" w:rsidRDefault="00171896"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3.053.724.629</w:t>
            </w:r>
          </w:p>
        </w:tc>
        <w:tc>
          <w:tcPr>
            <w:tcW w:w="1498" w:type="dxa"/>
          </w:tcPr>
          <w:p w14:paraId="0CCBF66C" w14:textId="7FD5829D"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3.320.000.000</w:t>
            </w:r>
          </w:p>
        </w:tc>
        <w:tc>
          <w:tcPr>
            <w:tcW w:w="1498" w:type="dxa"/>
          </w:tcPr>
          <w:p w14:paraId="07B94596" w14:textId="4A7365AC"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3.516.639.848</w:t>
            </w:r>
          </w:p>
        </w:tc>
      </w:tr>
      <w:tr w:rsidR="007C4C18" w14:paraId="5A0BB024" w14:textId="77777777" w:rsidTr="003A6F9A">
        <w:tc>
          <w:tcPr>
            <w:tcW w:w="4158" w:type="dxa"/>
          </w:tcPr>
          <w:p w14:paraId="00B99CAB" w14:textId="29C2BD0D" w:rsidR="003A6F9A" w:rsidRPr="007C4C18" w:rsidRDefault="003A6F9A" w:rsidP="003A6F9A">
            <w:pPr>
              <w:spacing w:line="240" w:lineRule="auto"/>
              <w:rPr>
                <w:rFonts w:asciiTheme="minorHAnsi" w:hAnsiTheme="minorHAnsi" w:cstheme="minorHAnsi"/>
                <w:b/>
                <w:sz w:val="18"/>
                <w:szCs w:val="18"/>
              </w:rPr>
            </w:pPr>
            <w:r w:rsidRPr="007C4C18">
              <w:rPr>
                <w:rFonts w:asciiTheme="minorHAnsi" w:hAnsiTheme="minorHAnsi" w:cstheme="minorHAnsi"/>
                <w:b/>
                <w:sz w:val="18"/>
                <w:szCs w:val="18"/>
              </w:rPr>
              <w:t>Razlika med prihodki in odhodki</w:t>
            </w:r>
          </w:p>
        </w:tc>
        <w:tc>
          <w:tcPr>
            <w:tcW w:w="1204" w:type="dxa"/>
          </w:tcPr>
          <w:p w14:paraId="6BBC0C55" w14:textId="3A97C5F0" w:rsidR="003A6F9A" w:rsidRPr="007C4C18" w:rsidRDefault="00171896"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41.166.357</w:t>
            </w:r>
          </w:p>
        </w:tc>
        <w:tc>
          <w:tcPr>
            <w:tcW w:w="1498" w:type="dxa"/>
          </w:tcPr>
          <w:p w14:paraId="28320C45" w14:textId="39E5C149"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230D8DF5" w14:textId="11719377"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r>
      <w:tr w:rsidR="007C4C18" w14:paraId="6A4CCD10" w14:textId="77777777" w:rsidTr="003A6F9A">
        <w:tc>
          <w:tcPr>
            <w:tcW w:w="4158" w:type="dxa"/>
          </w:tcPr>
          <w:p w14:paraId="0D714181" w14:textId="4E42EDA1" w:rsidR="003A6F9A" w:rsidRPr="007C4C18" w:rsidRDefault="003A6F9A" w:rsidP="003A6F9A">
            <w:pPr>
              <w:spacing w:line="240" w:lineRule="auto"/>
              <w:rPr>
                <w:rFonts w:asciiTheme="minorHAnsi" w:hAnsiTheme="minorHAnsi" w:cstheme="minorHAnsi"/>
                <w:i/>
                <w:sz w:val="18"/>
                <w:szCs w:val="18"/>
              </w:rPr>
            </w:pPr>
            <w:r w:rsidRPr="007C4C18">
              <w:rPr>
                <w:rFonts w:asciiTheme="minorHAnsi" w:hAnsiTheme="minorHAnsi" w:cstheme="minorHAnsi"/>
                <w:i/>
                <w:sz w:val="18"/>
                <w:szCs w:val="18"/>
              </w:rPr>
              <w:t>B. Račun finančnih terjatev in naložb</w:t>
            </w:r>
          </w:p>
        </w:tc>
        <w:tc>
          <w:tcPr>
            <w:tcW w:w="1204" w:type="dxa"/>
          </w:tcPr>
          <w:p w14:paraId="4CEA9EF8" w14:textId="77777777" w:rsidR="003A6F9A" w:rsidRPr="007C4C18" w:rsidRDefault="003A6F9A" w:rsidP="003A6F9A">
            <w:pPr>
              <w:spacing w:line="240" w:lineRule="auto"/>
              <w:jc w:val="right"/>
              <w:rPr>
                <w:rFonts w:asciiTheme="minorHAnsi" w:hAnsiTheme="minorHAnsi" w:cstheme="minorHAnsi"/>
                <w:sz w:val="18"/>
                <w:szCs w:val="18"/>
              </w:rPr>
            </w:pPr>
          </w:p>
        </w:tc>
        <w:tc>
          <w:tcPr>
            <w:tcW w:w="1498" w:type="dxa"/>
          </w:tcPr>
          <w:p w14:paraId="5FE17745" w14:textId="77777777" w:rsidR="003A6F9A" w:rsidRPr="007C4C18" w:rsidRDefault="003A6F9A" w:rsidP="003A6F9A">
            <w:pPr>
              <w:spacing w:line="240" w:lineRule="auto"/>
              <w:jc w:val="right"/>
              <w:rPr>
                <w:rFonts w:asciiTheme="minorHAnsi" w:hAnsiTheme="minorHAnsi" w:cstheme="minorHAnsi"/>
                <w:sz w:val="18"/>
                <w:szCs w:val="18"/>
              </w:rPr>
            </w:pPr>
          </w:p>
        </w:tc>
        <w:tc>
          <w:tcPr>
            <w:tcW w:w="1498" w:type="dxa"/>
          </w:tcPr>
          <w:p w14:paraId="67A97079" w14:textId="77777777" w:rsidR="003A6F9A" w:rsidRPr="007C4C18" w:rsidRDefault="003A6F9A" w:rsidP="003A6F9A">
            <w:pPr>
              <w:spacing w:line="240" w:lineRule="auto"/>
              <w:jc w:val="right"/>
              <w:rPr>
                <w:rFonts w:asciiTheme="minorHAnsi" w:hAnsiTheme="minorHAnsi" w:cstheme="minorHAnsi"/>
                <w:sz w:val="18"/>
                <w:szCs w:val="18"/>
              </w:rPr>
            </w:pPr>
          </w:p>
        </w:tc>
      </w:tr>
      <w:tr w:rsidR="007C4C18" w14:paraId="3684DB53" w14:textId="77777777" w:rsidTr="003A6F9A">
        <w:tc>
          <w:tcPr>
            <w:tcW w:w="4158" w:type="dxa"/>
          </w:tcPr>
          <w:p w14:paraId="1F63C95D" w14:textId="4F5905E7" w:rsidR="003A6F9A" w:rsidRPr="007C4C18" w:rsidRDefault="003A6F9A" w:rsidP="003A6F9A">
            <w:pPr>
              <w:spacing w:line="240" w:lineRule="auto"/>
              <w:rPr>
                <w:rFonts w:asciiTheme="minorHAnsi" w:hAnsiTheme="minorHAnsi" w:cstheme="minorHAnsi"/>
                <w:sz w:val="18"/>
                <w:szCs w:val="18"/>
              </w:rPr>
            </w:pPr>
            <w:r w:rsidRPr="007C4C18">
              <w:rPr>
                <w:rFonts w:asciiTheme="minorHAnsi" w:hAnsiTheme="minorHAnsi" w:cstheme="minorHAnsi"/>
                <w:sz w:val="18"/>
                <w:szCs w:val="18"/>
              </w:rPr>
              <w:t>Prejeta vračila danih posojil in prodaja kap. Deležev</w:t>
            </w:r>
          </w:p>
        </w:tc>
        <w:tc>
          <w:tcPr>
            <w:tcW w:w="1204" w:type="dxa"/>
          </w:tcPr>
          <w:p w14:paraId="5230B380" w14:textId="09CB1CA6" w:rsidR="003A6F9A" w:rsidRPr="007C4C18" w:rsidRDefault="00171896"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3163109D" w14:textId="2D6BBD44"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40812C14" w14:textId="4D32FB52"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r>
      <w:tr w:rsidR="007C4C18" w14:paraId="0F59A41C" w14:textId="77777777" w:rsidTr="003A6F9A">
        <w:tc>
          <w:tcPr>
            <w:tcW w:w="4158" w:type="dxa"/>
          </w:tcPr>
          <w:p w14:paraId="21DED3C0" w14:textId="46760B9F" w:rsidR="003A6F9A" w:rsidRPr="007C4C18" w:rsidRDefault="003A6F9A" w:rsidP="003A6F9A">
            <w:pPr>
              <w:spacing w:line="240" w:lineRule="auto"/>
              <w:rPr>
                <w:rFonts w:asciiTheme="minorHAnsi" w:hAnsiTheme="minorHAnsi" w:cstheme="minorHAnsi"/>
                <w:sz w:val="18"/>
                <w:szCs w:val="18"/>
              </w:rPr>
            </w:pPr>
            <w:r w:rsidRPr="007C4C18">
              <w:rPr>
                <w:rFonts w:asciiTheme="minorHAnsi" w:hAnsiTheme="minorHAnsi" w:cstheme="minorHAnsi"/>
                <w:sz w:val="18"/>
                <w:szCs w:val="18"/>
              </w:rPr>
              <w:t xml:space="preserve">Dana posojila in </w:t>
            </w:r>
            <w:proofErr w:type="spellStart"/>
            <w:r w:rsidRPr="007C4C18">
              <w:rPr>
                <w:rFonts w:asciiTheme="minorHAnsi" w:hAnsiTheme="minorHAnsi" w:cstheme="minorHAnsi"/>
                <w:sz w:val="18"/>
                <w:szCs w:val="18"/>
              </w:rPr>
              <w:t>pvoečanje</w:t>
            </w:r>
            <w:proofErr w:type="spellEnd"/>
            <w:r w:rsidRPr="007C4C18">
              <w:rPr>
                <w:rFonts w:asciiTheme="minorHAnsi" w:hAnsiTheme="minorHAnsi" w:cstheme="minorHAnsi"/>
                <w:sz w:val="18"/>
                <w:szCs w:val="18"/>
              </w:rPr>
              <w:t xml:space="preserve"> kapitalskih deležev</w:t>
            </w:r>
          </w:p>
        </w:tc>
        <w:tc>
          <w:tcPr>
            <w:tcW w:w="1204" w:type="dxa"/>
          </w:tcPr>
          <w:p w14:paraId="7C6E22FF" w14:textId="69FE1D43" w:rsidR="003A6F9A" w:rsidRPr="007C4C18" w:rsidRDefault="00171896"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28417DF5" w14:textId="7A61DE6C"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7389FA71" w14:textId="37E05062"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r>
      <w:tr w:rsidR="003A6F9A" w14:paraId="0C94E0BB" w14:textId="77777777" w:rsidTr="003A6F9A">
        <w:tc>
          <w:tcPr>
            <w:tcW w:w="4158" w:type="dxa"/>
          </w:tcPr>
          <w:p w14:paraId="3FE1F15E" w14:textId="589E70B3" w:rsidR="003A6F9A" w:rsidRPr="007C4C18" w:rsidRDefault="003A6F9A" w:rsidP="003A6F9A">
            <w:pPr>
              <w:spacing w:line="240" w:lineRule="auto"/>
              <w:rPr>
                <w:rFonts w:asciiTheme="minorHAnsi" w:hAnsiTheme="minorHAnsi" w:cstheme="minorHAnsi"/>
                <w:b/>
                <w:sz w:val="18"/>
                <w:szCs w:val="18"/>
              </w:rPr>
            </w:pPr>
            <w:r w:rsidRPr="007C4C18">
              <w:rPr>
                <w:rFonts w:asciiTheme="minorHAnsi" w:hAnsiTheme="minorHAnsi" w:cstheme="minorHAnsi"/>
                <w:b/>
                <w:sz w:val="18"/>
                <w:szCs w:val="18"/>
              </w:rPr>
              <w:t>Prejeta minus dana posojila in sprememba kap. deležev</w:t>
            </w:r>
          </w:p>
        </w:tc>
        <w:tc>
          <w:tcPr>
            <w:tcW w:w="1204" w:type="dxa"/>
          </w:tcPr>
          <w:p w14:paraId="59F58767" w14:textId="77777777" w:rsidR="003A6F9A" w:rsidRPr="007C4C18" w:rsidRDefault="003A6F9A" w:rsidP="003A6F9A">
            <w:pPr>
              <w:spacing w:line="240" w:lineRule="auto"/>
              <w:jc w:val="right"/>
              <w:rPr>
                <w:rFonts w:asciiTheme="minorHAnsi" w:hAnsiTheme="minorHAnsi" w:cstheme="minorHAnsi"/>
                <w:sz w:val="18"/>
                <w:szCs w:val="18"/>
              </w:rPr>
            </w:pPr>
          </w:p>
        </w:tc>
        <w:tc>
          <w:tcPr>
            <w:tcW w:w="1498" w:type="dxa"/>
          </w:tcPr>
          <w:p w14:paraId="3B58559B" w14:textId="4726C5DF"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46D8F752" w14:textId="3378800A"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r>
      <w:tr w:rsidR="003A6F9A" w14:paraId="74499D6F" w14:textId="77777777" w:rsidTr="003A6F9A">
        <w:tc>
          <w:tcPr>
            <w:tcW w:w="4158" w:type="dxa"/>
          </w:tcPr>
          <w:p w14:paraId="467E148A" w14:textId="1CA0E5C5" w:rsidR="003A6F9A" w:rsidRPr="007C4C18" w:rsidRDefault="003A6F9A" w:rsidP="003A6F9A">
            <w:pPr>
              <w:spacing w:line="240" w:lineRule="auto"/>
              <w:rPr>
                <w:rFonts w:asciiTheme="minorHAnsi" w:hAnsiTheme="minorHAnsi" w:cstheme="minorHAnsi"/>
                <w:i/>
                <w:sz w:val="18"/>
                <w:szCs w:val="18"/>
              </w:rPr>
            </w:pPr>
            <w:r w:rsidRPr="007C4C18">
              <w:rPr>
                <w:rFonts w:asciiTheme="minorHAnsi" w:hAnsiTheme="minorHAnsi" w:cstheme="minorHAnsi"/>
                <w:i/>
                <w:sz w:val="18"/>
                <w:szCs w:val="18"/>
              </w:rPr>
              <w:t xml:space="preserve">C. Račun financiranja: </w:t>
            </w:r>
          </w:p>
        </w:tc>
        <w:tc>
          <w:tcPr>
            <w:tcW w:w="1204" w:type="dxa"/>
          </w:tcPr>
          <w:p w14:paraId="6DE6CB38" w14:textId="77777777" w:rsidR="003A6F9A" w:rsidRPr="007C4C18" w:rsidRDefault="003A6F9A" w:rsidP="003A6F9A">
            <w:pPr>
              <w:spacing w:line="240" w:lineRule="auto"/>
              <w:jc w:val="right"/>
              <w:rPr>
                <w:rFonts w:asciiTheme="minorHAnsi" w:hAnsiTheme="minorHAnsi" w:cstheme="minorHAnsi"/>
                <w:sz w:val="18"/>
                <w:szCs w:val="18"/>
              </w:rPr>
            </w:pPr>
          </w:p>
        </w:tc>
        <w:tc>
          <w:tcPr>
            <w:tcW w:w="1498" w:type="dxa"/>
          </w:tcPr>
          <w:p w14:paraId="4A0F226C" w14:textId="77777777" w:rsidR="003A6F9A" w:rsidRPr="007C4C18" w:rsidRDefault="003A6F9A" w:rsidP="003A6F9A">
            <w:pPr>
              <w:spacing w:line="240" w:lineRule="auto"/>
              <w:jc w:val="right"/>
              <w:rPr>
                <w:rFonts w:asciiTheme="minorHAnsi" w:hAnsiTheme="minorHAnsi" w:cstheme="minorHAnsi"/>
                <w:sz w:val="18"/>
                <w:szCs w:val="18"/>
              </w:rPr>
            </w:pPr>
          </w:p>
        </w:tc>
        <w:tc>
          <w:tcPr>
            <w:tcW w:w="1498" w:type="dxa"/>
          </w:tcPr>
          <w:p w14:paraId="41A86579" w14:textId="77777777" w:rsidR="003A6F9A" w:rsidRPr="007C4C18" w:rsidRDefault="003A6F9A" w:rsidP="003A6F9A">
            <w:pPr>
              <w:spacing w:line="240" w:lineRule="auto"/>
              <w:jc w:val="right"/>
              <w:rPr>
                <w:rFonts w:asciiTheme="minorHAnsi" w:hAnsiTheme="minorHAnsi" w:cstheme="minorHAnsi"/>
                <w:sz w:val="18"/>
                <w:szCs w:val="18"/>
              </w:rPr>
            </w:pPr>
          </w:p>
        </w:tc>
      </w:tr>
      <w:tr w:rsidR="003A6F9A" w14:paraId="68877A3F" w14:textId="77777777" w:rsidTr="003A6F9A">
        <w:tc>
          <w:tcPr>
            <w:tcW w:w="4158" w:type="dxa"/>
          </w:tcPr>
          <w:p w14:paraId="47299A4B" w14:textId="7FF7292E" w:rsidR="003A6F9A" w:rsidRPr="007C4C18" w:rsidRDefault="003A6F9A" w:rsidP="003A6F9A">
            <w:pPr>
              <w:spacing w:line="240" w:lineRule="auto"/>
              <w:rPr>
                <w:rFonts w:asciiTheme="minorHAnsi" w:hAnsiTheme="minorHAnsi" w:cstheme="minorHAnsi"/>
                <w:sz w:val="18"/>
                <w:szCs w:val="18"/>
              </w:rPr>
            </w:pPr>
            <w:r w:rsidRPr="007C4C18">
              <w:rPr>
                <w:rFonts w:asciiTheme="minorHAnsi" w:hAnsiTheme="minorHAnsi" w:cstheme="minorHAnsi"/>
                <w:sz w:val="18"/>
                <w:szCs w:val="18"/>
              </w:rPr>
              <w:t>Zadolževanje</w:t>
            </w:r>
          </w:p>
        </w:tc>
        <w:tc>
          <w:tcPr>
            <w:tcW w:w="1204" w:type="dxa"/>
          </w:tcPr>
          <w:p w14:paraId="22110989" w14:textId="120D792A" w:rsidR="003A6F9A" w:rsidRPr="007C4C18" w:rsidRDefault="00171896"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02A7A1E4" w14:textId="39F73032"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73FA687D" w14:textId="30D4E191"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r>
      <w:tr w:rsidR="003A6F9A" w14:paraId="18C28BB3" w14:textId="77777777" w:rsidTr="003A6F9A">
        <w:tc>
          <w:tcPr>
            <w:tcW w:w="4158" w:type="dxa"/>
          </w:tcPr>
          <w:p w14:paraId="3069B6F4" w14:textId="45B615FD" w:rsidR="003A6F9A" w:rsidRPr="007C4C18" w:rsidRDefault="003A6F9A" w:rsidP="003A6F9A">
            <w:pPr>
              <w:spacing w:line="240" w:lineRule="auto"/>
              <w:rPr>
                <w:rFonts w:asciiTheme="minorHAnsi" w:hAnsiTheme="minorHAnsi" w:cstheme="minorHAnsi"/>
                <w:sz w:val="18"/>
                <w:szCs w:val="18"/>
              </w:rPr>
            </w:pPr>
            <w:r w:rsidRPr="007C4C18">
              <w:rPr>
                <w:rFonts w:asciiTheme="minorHAnsi" w:hAnsiTheme="minorHAnsi" w:cstheme="minorHAnsi"/>
                <w:sz w:val="18"/>
                <w:szCs w:val="18"/>
              </w:rPr>
              <w:t>Odplačilo dolga</w:t>
            </w:r>
          </w:p>
        </w:tc>
        <w:tc>
          <w:tcPr>
            <w:tcW w:w="1204" w:type="dxa"/>
          </w:tcPr>
          <w:p w14:paraId="629C6FFA" w14:textId="40C8AAAE" w:rsidR="003A6F9A" w:rsidRPr="007C4C18" w:rsidRDefault="00171896"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2680B2A6" w14:textId="2A3F1192"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32524234" w14:textId="71DE3AA9"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r>
      <w:tr w:rsidR="003A6F9A" w14:paraId="2D0443C8" w14:textId="77777777" w:rsidTr="003A6F9A">
        <w:tc>
          <w:tcPr>
            <w:tcW w:w="4158" w:type="dxa"/>
          </w:tcPr>
          <w:p w14:paraId="7A761E73" w14:textId="3F2478F5" w:rsidR="003A6F9A" w:rsidRPr="007C4C18" w:rsidRDefault="003A6F9A" w:rsidP="003A6F9A">
            <w:pPr>
              <w:spacing w:line="240" w:lineRule="auto"/>
              <w:rPr>
                <w:rFonts w:asciiTheme="minorHAnsi" w:hAnsiTheme="minorHAnsi" w:cstheme="minorHAnsi"/>
                <w:b/>
                <w:sz w:val="18"/>
                <w:szCs w:val="18"/>
              </w:rPr>
            </w:pPr>
            <w:r w:rsidRPr="007C4C18">
              <w:rPr>
                <w:rFonts w:asciiTheme="minorHAnsi" w:hAnsiTheme="minorHAnsi" w:cstheme="minorHAnsi"/>
                <w:b/>
                <w:sz w:val="18"/>
                <w:szCs w:val="18"/>
              </w:rPr>
              <w:t>Neto zadolževanje / neto odplačilo dolga</w:t>
            </w:r>
          </w:p>
        </w:tc>
        <w:tc>
          <w:tcPr>
            <w:tcW w:w="1204" w:type="dxa"/>
          </w:tcPr>
          <w:p w14:paraId="207B2C79" w14:textId="1F66C87D" w:rsidR="003A6F9A" w:rsidRPr="007C4C18" w:rsidRDefault="00171896"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3065D9D3" w14:textId="00DE6D1B"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4E625283" w14:textId="757D4E11"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r>
      <w:tr w:rsidR="003A6F9A" w14:paraId="134743E7" w14:textId="77777777" w:rsidTr="003A6F9A">
        <w:trPr>
          <w:trHeight w:val="70"/>
        </w:trPr>
        <w:tc>
          <w:tcPr>
            <w:tcW w:w="4158" w:type="dxa"/>
          </w:tcPr>
          <w:p w14:paraId="17A9217B" w14:textId="4A21B2B2" w:rsidR="003A6F9A" w:rsidRPr="007C4C18" w:rsidRDefault="003A6F9A" w:rsidP="003A6F9A">
            <w:pPr>
              <w:spacing w:line="240" w:lineRule="auto"/>
              <w:rPr>
                <w:rFonts w:asciiTheme="minorHAnsi" w:hAnsiTheme="minorHAnsi" w:cstheme="minorHAnsi"/>
                <w:b/>
                <w:sz w:val="18"/>
                <w:szCs w:val="18"/>
              </w:rPr>
            </w:pPr>
            <w:r w:rsidRPr="007C4C18">
              <w:rPr>
                <w:rFonts w:asciiTheme="minorHAnsi" w:hAnsiTheme="minorHAnsi" w:cstheme="minorHAnsi"/>
                <w:b/>
                <w:sz w:val="18"/>
                <w:szCs w:val="18"/>
              </w:rPr>
              <w:t>POVEČANJE / ZMANJŠANJE SREDSTEV NA RAČUNIH</w:t>
            </w:r>
          </w:p>
        </w:tc>
        <w:tc>
          <w:tcPr>
            <w:tcW w:w="1204" w:type="dxa"/>
          </w:tcPr>
          <w:p w14:paraId="4E762CA5" w14:textId="5FF5F9BE" w:rsidR="003A6F9A" w:rsidRPr="007C4C18" w:rsidRDefault="00171896"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41.166.357</w:t>
            </w:r>
          </w:p>
        </w:tc>
        <w:tc>
          <w:tcPr>
            <w:tcW w:w="1498" w:type="dxa"/>
          </w:tcPr>
          <w:p w14:paraId="269BA24A" w14:textId="704CAC80"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c>
          <w:tcPr>
            <w:tcW w:w="1498" w:type="dxa"/>
          </w:tcPr>
          <w:p w14:paraId="3BADBD63" w14:textId="6328D8EF" w:rsidR="003A6F9A" w:rsidRPr="007C4C18" w:rsidRDefault="003A6F9A" w:rsidP="003A6F9A">
            <w:pPr>
              <w:spacing w:line="240" w:lineRule="auto"/>
              <w:jc w:val="right"/>
              <w:rPr>
                <w:rFonts w:asciiTheme="minorHAnsi" w:hAnsiTheme="minorHAnsi" w:cstheme="minorHAnsi"/>
                <w:sz w:val="18"/>
                <w:szCs w:val="18"/>
              </w:rPr>
            </w:pPr>
            <w:r w:rsidRPr="007C4C18">
              <w:rPr>
                <w:rFonts w:asciiTheme="minorHAnsi" w:hAnsiTheme="minorHAnsi" w:cstheme="minorHAnsi"/>
                <w:sz w:val="18"/>
                <w:szCs w:val="18"/>
              </w:rPr>
              <w:t>0</w:t>
            </w:r>
          </w:p>
        </w:tc>
      </w:tr>
    </w:tbl>
    <w:p w14:paraId="42B74BC5" w14:textId="77777777" w:rsidR="007C4C18" w:rsidRDefault="007C4C18" w:rsidP="00850857">
      <w:pPr>
        <w:pStyle w:val="BodyTextIndent22"/>
        <w:spacing w:line="240" w:lineRule="auto"/>
        <w:ind w:left="142" w:firstLine="0"/>
        <w:rPr>
          <w:rFonts w:ascii="Calibri" w:hAnsi="Calibri" w:cs="Calibri"/>
          <w:szCs w:val="22"/>
        </w:rPr>
      </w:pPr>
    </w:p>
    <w:p w14:paraId="6DFE61A5" w14:textId="68027E61" w:rsidR="00850857" w:rsidRPr="00FD7983" w:rsidRDefault="00850857" w:rsidP="00850857">
      <w:pPr>
        <w:pStyle w:val="BodyTextIndent22"/>
        <w:spacing w:line="240" w:lineRule="auto"/>
        <w:ind w:left="142" w:firstLine="0"/>
        <w:rPr>
          <w:rFonts w:ascii="Calibri" w:hAnsi="Calibri" w:cs="Calibri"/>
          <w:szCs w:val="22"/>
        </w:rPr>
      </w:pPr>
      <w:r w:rsidRPr="00FD7983">
        <w:rPr>
          <w:rFonts w:ascii="Calibri" w:hAnsi="Calibri" w:cs="Calibri"/>
          <w:szCs w:val="22"/>
        </w:rPr>
        <w:t xml:space="preserve">Pri pripravi finančne projekcije poslovanja ZZZS za leti 2020 in 2021 so upoštevani: </w:t>
      </w:r>
    </w:p>
    <w:p w14:paraId="52F4EDB4" w14:textId="344130C9"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veljavni predpisi nav</w:t>
      </w:r>
      <w:r w:rsidR="007C4C18">
        <w:rPr>
          <w:rFonts w:ascii="Calibri" w:hAnsi="Calibri" w:cs="Calibri"/>
          <w:szCs w:val="22"/>
        </w:rPr>
        <w:t>edeni</w:t>
      </w:r>
      <w:r w:rsidRPr="00FD7983">
        <w:rPr>
          <w:rFonts w:ascii="Calibri" w:hAnsi="Calibri" w:cs="Calibri"/>
          <w:szCs w:val="22"/>
        </w:rPr>
        <w:t xml:space="preserve">, </w:t>
      </w:r>
    </w:p>
    <w:p w14:paraId="194FE87C"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ocena realizacije prihodkov in odhodkov ZZZS v letu 2019, ki upošteva spremembe v globalnih makroekonomskih okvirih UMAR (september 2019) za leto 2019, realizacijo prihodk</w:t>
      </w:r>
      <w:r>
        <w:rPr>
          <w:rFonts w:ascii="Calibri" w:hAnsi="Calibri" w:cs="Calibri"/>
          <w:szCs w:val="22"/>
        </w:rPr>
        <w:t>ov in odhodkov v obdobju januar–</w:t>
      </w:r>
      <w:r w:rsidRPr="00FD7983">
        <w:rPr>
          <w:rFonts w:ascii="Calibri" w:hAnsi="Calibri" w:cs="Calibri"/>
          <w:szCs w:val="22"/>
        </w:rPr>
        <w:t xml:space="preserve">avgust 2019 s projekcijo do konca leta 2019, </w:t>
      </w:r>
    </w:p>
    <w:p w14:paraId="2996AB93"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 xml:space="preserve">globalni makroekonomski okviri UMAR za leti 2020 in 2021 (september 2019), </w:t>
      </w:r>
    </w:p>
    <w:p w14:paraId="1440E7AB"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lastRenderedPageBreak/>
        <w:t>pravice iz obveznega zdravstvenega zavarovanja glede na Zakon o zdravstvenem varstvu in zdravstvenem zavarovanju in Pravila obveznega zdravstvenega zavarovanja,</w:t>
      </w:r>
    </w:p>
    <w:p w14:paraId="1904469E"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 xml:space="preserve">finančni učinki Splošnega dogovora za pogodbeno leto 2019 z aneksom 1 in 2, ki vplivajo na višino odhodkov za zdravstvene storitve v letu 2020 in 2021 (41,5 milijona evrov v letu 2020); iz predvidenega aneksa 3 k Splošnemu dogovoru za leto 2019 je za leto opravljene storitve v letu 2019 predviden finančni učinek v letu 2020 v višini 10 milijonov evrov, </w:t>
      </w:r>
    </w:p>
    <w:p w14:paraId="5415D76A"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 xml:space="preserve">transferni prihodki iz državnega proračuna za povračilo sredstev za plače in nadomestila plače pripravnikov in specializantov po Zakonu o zdravniški službi v letu 2020 v višini 91 milijonov evrov ter 97 milijonov evrov v letu 2021, </w:t>
      </w:r>
    </w:p>
    <w:p w14:paraId="64F5EA4D"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prenos neplačanih obveznosti iz leta 2019 v leto 2020 v višini 44,8 milijona evrov,</w:t>
      </w:r>
    </w:p>
    <w:p w14:paraId="492A8249" w14:textId="77777777" w:rsidR="00850857" w:rsidRPr="00FD7983" w:rsidRDefault="00850857" w:rsidP="00850857">
      <w:pPr>
        <w:pStyle w:val="BodyTextIndent22"/>
        <w:numPr>
          <w:ilvl w:val="0"/>
          <w:numId w:val="3"/>
        </w:numPr>
        <w:tabs>
          <w:tab w:val="left" w:pos="426"/>
        </w:tabs>
        <w:autoSpaceDE w:val="0"/>
        <w:autoSpaceDN w:val="0"/>
        <w:adjustRightInd w:val="0"/>
        <w:spacing w:line="240" w:lineRule="auto"/>
        <w:ind w:left="142" w:firstLine="0"/>
        <w:contextualSpacing/>
        <w:rPr>
          <w:rFonts w:ascii="Calibri" w:hAnsi="Calibri" w:cs="Calibri"/>
          <w:szCs w:val="22"/>
        </w:rPr>
      </w:pPr>
      <w:r w:rsidRPr="00FD7983">
        <w:rPr>
          <w:rFonts w:ascii="Calibri" w:hAnsi="Calibri" w:cs="Calibri"/>
          <w:szCs w:val="22"/>
        </w:rPr>
        <w:t>v letu 2021 je vključena valorizacija materialnih stroškov v cenah zdravstvenih storitev glede na povprečno rast cen življenjskih potrebščin v višini 21,6 milijona evrov, v letu 2020 za ta namen sredstva niso predvidena,</w:t>
      </w:r>
    </w:p>
    <w:p w14:paraId="7ED4FD16"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 xml:space="preserve">povečanje cen zdravstvenih storitev v skladu s Sporazumom o razreševanju stavkovnih zahtev iz leta 2018 v višini 25 milijonov evro v letu 2020 ter 30 milijonov evrov v letu 2021 iz naslova uskladitve </w:t>
      </w:r>
      <w:proofErr w:type="spellStart"/>
      <w:r w:rsidRPr="00FD7983">
        <w:rPr>
          <w:rFonts w:ascii="Calibri" w:hAnsi="Calibri" w:cs="Calibri"/>
          <w:szCs w:val="22"/>
        </w:rPr>
        <w:t>kalkulativnih</w:t>
      </w:r>
      <w:proofErr w:type="spellEnd"/>
      <w:r w:rsidRPr="00FD7983">
        <w:rPr>
          <w:rFonts w:ascii="Calibri" w:hAnsi="Calibri" w:cs="Calibri"/>
          <w:szCs w:val="22"/>
        </w:rPr>
        <w:t xml:space="preserve"> plačnih razredov v cenah zdravstvenih storitev glede na veljavno plačno lestvico za javni sektor,</w:t>
      </w:r>
    </w:p>
    <w:p w14:paraId="4BFE3BA3"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povečanje sredstev za amortizacijo v kalkulaciji cen zdravstvenih storitev v letu 2021 v višini 16,1 milijona evrov ter dvig cen v specialistično ambulantni in bolnišnični dejavnosti v letu 2021 v višini 10 milijonov evrov,</w:t>
      </w:r>
    </w:p>
    <w:p w14:paraId="7342C5C9" w14:textId="7F1ACC82"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uvedba sprememb v skladu s stroškovno analizo (razvoj sistema SPP</w:t>
      </w:r>
      <w:r w:rsidR="007C4C18">
        <w:rPr>
          <w:rFonts w:ascii="Calibri" w:hAnsi="Calibri" w:cs="Calibri"/>
          <w:szCs w:val="22"/>
        </w:rPr>
        <w:t xml:space="preserve"> v akutni bolnišnični obravnavi</w:t>
      </w:r>
      <w:r w:rsidRPr="00FD7983">
        <w:rPr>
          <w:rFonts w:ascii="Calibri" w:hAnsi="Calibri" w:cs="Calibri"/>
          <w:szCs w:val="22"/>
        </w:rPr>
        <w:t>) v letu 2020 v višini 5 milijonov evrov ter korekcija obračunskih modelov in uvedba novih zdravstvenih tehnologij v letu 2021 v višini 20 milijonov evrov,</w:t>
      </w:r>
    </w:p>
    <w:p w14:paraId="63AAAD99"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izboljšanje informacijske podpore izvajalcev z namenom zmanjšanja administrativnih ovir v letu 2021 v višini 10 milijonov evrov,</w:t>
      </w:r>
    </w:p>
    <w:p w14:paraId="25D2B0E8" w14:textId="77777777" w:rsidR="00850857" w:rsidRPr="00CA05F8"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nekatere nujne širitve programov z namenom skrajšanja čakalnih dob, za kar je v letu</w:t>
      </w:r>
      <w:r>
        <w:rPr>
          <w:rFonts w:ascii="Calibri" w:hAnsi="Calibri" w:cs="Calibri"/>
          <w:szCs w:val="22"/>
        </w:rPr>
        <w:t xml:space="preserve"> 2020 predvideno 5 milijonov evrov, </w:t>
      </w:r>
      <w:r w:rsidRPr="00CA05F8">
        <w:rPr>
          <w:rFonts w:ascii="Calibri" w:hAnsi="Calibri" w:cs="Calibri"/>
          <w:szCs w:val="22"/>
        </w:rPr>
        <w:t>v letu 2021 pa 25 milijonov evrov</w:t>
      </w:r>
      <w:r>
        <w:rPr>
          <w:rFonts w:ascii="Calibri" w:hAnsi="Calibri" w:cs="Calibri"/>
          <w:szCs w:val="22"/>
        </w:rPr>
        <w:t>.</w:t>
      </w:r>
      <w:bookmarkStart w:id="1" w:name="_Hlk19269028"/>
      <w:r>
        <w:rPr>
          <w:rFonts w:ascii="Calibri" w:hAnsi="Calibri" w:cs="Calibri"/>
          <w:szCs w:val="22"/>
        </w:rPr>
        <w:t xml:space="preserve"> Dodatna sredstva v letu 2020 bodo lahko zagotovljena za ta namen, če bodo sprejete </w:t>
      </w:r>
      <w:r w:rsidRPr="00CA05F8">
        <w:rPr>
          <w:rFonts w:ascii="Calibri" w:hAnsi="Calibri" w:cs="Calibri"/>
          <w:szCs w:val="22"/>
        </w:rPr>
        <w:t>sistemsk</w:t>
      </w:r>
      <w:r>
        <w:rPr>
          <w:rFonts w:ascii="Calibri" w:hAnsi="Calibri" w:cs="Calibri"/>
          <w:szCs w:val="22"/>
        </w:rPr>
        <w:t>e</w:t>
      </w:r>
      <w:r w:rsidRPr="00CA05F8">
        <w:rPr>
          <w:rFonts w:ascii="Calibri" w:hAnsi="Calibri" w:cs="Calibri"/>
          <w:szCs w:val="22"/>
        </w:rPr>
        <w:t xml:space="preserve"> sprememb</w:t>
      </w:r>
      <w:r>
        <w:rPr>
          <w:rFonts w:ascii="Calibri" w:hAnsi="Calibri" w:cs="Calibri"/>
          <w:szCs w:val="22"/>
        </w:rPr>
        <w:t>e</w:t>
      </w:r>
      <w:r w:rsidRPr="00CA05F8">
        <w:rPr>
          <w:rFonts w:ascii="Calibri" w:hAnsi="Calibri" w:cs="Calibri"/>
          <w:szCs w:val="22"/>
        </w:rPr>
        <w:t xml:space="preserve"> na področju pravic do nadomestila plače med začasno zadržanostjo od dela</w:t>
      </w:r>
      <w:r>
        <w:rPr>
          <w:rFonts w:ascii="Calibri" w:hAnsi="Calibri" w:cs="Calibri"/>
          <w:szCs w:val="22"/>
        </w:rPr>
        <w:t xml:space="preserve">, ki bodo imele finančne učinke že </w:t>
      </w:r>
      <w:r w:rsidRPr="00CA05F8">
        <w:rPr>
          <w:rFonts w:ascii="Calibri" w:hAnsi="Calibri" w:cs="Calibri"/>
          <w:szCs w:val="22"/>
        </w:rPr>
        <w:t>v letu 2020</w:t>
      </w:r>
      <w:r>
        <w:rPr>
          <w:rFonts w:ascii="Calibri" w:hAnsi="Calibri" w:cs="Calibri"/>
          <w:szCs w:val="22"/>
        </w:rPr>
        <w:t>,</w:t>
      </w:r>
      <w:bookmarkEnd w:id="1"/>
    </w:p>
    <w:p w14:paraId="1ED98475"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za širitev mreže na primarni ravni in za dejavnost socialnih zavodov v letu 2021 j</w:t>
      </w:r>
      <w:r>
        <w:rPr>
          <w:rFonts w:ascii="Calibri" w:hAnsi="Calibri" w:cs="Calibri"/>
          <w:szCs w:val="22"/>
        </w:rPr>
        <w:t>e predvideno 9,6 milijona evrov</w:t>
      </w:r>
      <w:r w:rsidRPr="00FD7983">
        <w:rPr>
          <w:rFonts w:ascii="Calibri" w:hAnsi="Calibri" w:cs="Calibri"/>
          <w:szCs w:val="22"/>
        </w:rPr>
        <w:t>,</w:t>
      </w:r>
    </w:p>
    <w:p w14:paraId="19BB3D9F"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dodatna sredstva za draga zdravila zaradi porasta porabe, spremenjene cene in uvajanje novih zdravil ter aplikacijo dragih zdravil v letu 2020 5,2 milijona evrov, v letu 2021 26,6 milijona evrov; povračila sredstev na temelju dogovorov o ceni in povračilu stroškov za zdravila, ki jih je ZZZS sklenil s farmacevtskimi družbami so v letu 2020 ocenjena v višini 21 milijonov evrov, v letu 2021 pa 24,2 milijona evrov,</w:t>
      </w:r>
    </w:p>
    <w:p w14:paraId="3F37AA52" w14:textId="77777777" w:rsidR="00850857" w:rsidRPr="00FD7983" w:rsidRDefault="00850857" w:rsidP="00850857">
      <w:pPr>
        <w:pStyle w:val="BodyTextIndent22"/>
        <w:numPr>
          <w:ilvl w:val="0"/>
          <w:numId w:val="3"/>
        </w:numPr>
        <w:spacing w:line="240" w:lineRule="auto"/>
        <w:ind w:left="142" w:firstLine="0"/>
        <w:rPr>
          <w:rFonts w:ascii="Calibri" w:hAnsi="Calibri" w:cs="Calibri"/>
          <w:szCs w:val="22"/>
        </w:rPr>
      </w:pPr>
      <w:r w:rsidRPr="00FD7983">
        <w:rPr>
          <w:rFonts w:ascii="Calibri" w:hAnsi="Calibri" w:cs="Calibri"/>
          <w:szCs w:val="22"/>
        </w:rPr>
        <w:t>dodatna sredstva za program Dora in Svit v letu 2020 v višini 0,8 milijona evrov,</w:t>
      </w:r>
    </w:p>
    <w:p w14:paraId="558DD00C" w14:textId="77777777" w:rsidR="00850857" w:rsidRPr="00FD7983" w:rsidRDefault="00850857" w:rsidP="00850857">
      <w:pPr>
        <w:pStyle w:val="BodyTextIndent22"/>
        <w:numPr>
          <w:ilvl w:val="0"/>
          <w:numId w:val="3"/>
        </w:numPr>
        <w:tabs>
          <w:tab w:val="left" w:pos="426"/>
        </w:tabs>
        <w:autoSpaceDE w:val="0"/>
        <w:autoSpaceDN w:val="0"/>
        <w:adjustRightInd w:val="0"/>
        <w:spacing w:line="240" w:lineRule="auto"/>
        <w:ind w:left="142" w:firstLine="0"/>
        <w:contextualSpacing/>
        <w:rPr>
          <w:rFonts w:ascii="Calibri" w:hAnsi="Calibri" w:cs="Calibri"/>
          <w:szCs w:val="22"/>
        </w:rPr>
      </w:pPr>
      <w:r w:rsidRPr="00FD7983">
        <w:rPr>
          <w:rFonts w:ascii="Calibri" w:hAnsi="Calibri" w:cs="Calibri"/>
          <w:szCs w:val="22"/>
        </w:rPr>
        <w:t>odhodki za zdravila, predpisana na recept, so v letu 2020 ocenjeni s 5,9 % realno rastjo potrošnje zdravil zaradi porasta predpisane količine zdravil, spremembe v strukturi predpisovanja in uvedbe novih zdravil, v letu 2021 pa s 4,2 % realno rastjo,</w:t>
      </w:r>
    </w:p>
    <w:p w14:paraId="3C734868" w14:textId="1EEB60A8" w:rsidR="00850857" w:rsidRPr="00FD7983" w:rsidRDefault="00850857" w:rsidP="00850857">
      <w:pPr>
        <w:pStyle w:val="BodyTextIndent22"/>
        <w:numPr>
          <w:ilvl w:val="0"/>
          <w:numId w:val="3"/>
        </w:numPr>
        <w:tabs>
          <w:tab w:val="left" w:pos="426"/>
        </w:tabs>
        <w:autoSpaceDE w:val="0"/>
        <w:autoSpaceDN w:val="0"/>
        <w:adjustRightInd w:val="0"/>
        <w:spacing w:line="240" w:lineRule="auto"/>
        <w:ind w:left="142" w:firstLine="0"/>
        <w:contextualSpacing/>
        <w:rPr>
          <w:rFonts w:ascii="Calibri" w:hAnsi="Calibri" w:cs="Calibri"/>
          <w:szCs w:val="22"/>
        </w:rPr>
      </w:pPr>
      <w:r w:rsidRPr="00FD7983">
        <w:rPr>
          <w:rFonts w:ascii="Calibri" w:hAnsi="Calibri" w:cs="Calibri"/>
          <w:szCs w:val="22"/>
        </w:rPr>
        <w:t>odhodki za medicinske pripomočke so v letu 2020 ocenjeni z 11,2 % realno rastjo, v letu 2021 pa z 10,1 % realno rastjo. Rast odhodkov je predvsem posledica načrtovane širitve pravic do medicinskih pripomočkov</w:t>
      </w:r>
      <w:r w:rsidR="007C4C18">
        <w:rPr>
          <w:rFonts w:ascii="Calibri" w:hAnsi="Calibri" w:cs="Calibri"/>
          <w:szCs w:val="22"/>
        </w:rPr>
        <w:t xml:space="preserve"> na podlagi spremembe Pravil obveznega zdravstvenega zavarovanja</w:t>
      </w:r>
      <w:r w:rsidRPr="00FD7983">
        <w:rPr>
          <w:rFonts w:ascii="Calibri" w:hAnsi="Calibri" w:cs="Calibri"/>
          <w:szCs w:val="22"/>
        </w:rPr>
        <w:t xml:space="preserve"> ter povečanja števila zavarovanih oseb, ki so upravičene do teh pripomočkov, </w:t>
      </w:r>
    </w:p>
    <w:p w14:paraId="2DAD94C6" w14:textId="77777777" w:rsidR="00850857" w:rsidRPr="00FD7983" w:rsidRDefault="00850857" w:rsidP="00850857">
      <w:pPr>
        <w:pStyle w:val="BodyTextIndent22"/>
        <w:numPr>
          <w:ilvl w:val="0"/>
          <w:numId w:val="3"/>
        </w:numPr>
        <w:tabs>
          <w:tab w:val="left" w:pos="426"/>
        </w:tabs>
        <w:autoSpaceDE w:val="0"/>
        <w:autoSpaceDN w:val="0"/>
        <w:adjustRightInd w:val="0"/>
        <w:spacing w:line="240" w:lineRule="auto"/>
        <w:ind w:left="142" w:firstLine="0"/>
        <w:contextualSpacing/>
        <w:rPr>
          <w:rFonts w:ascii="Calibri" w:hAnsi="Calibri" w:cs="Calibri"/>
          <w:szCs w:val="22"/>
        </w:rPr>
      </w:pPr>
      <w:r w:rsidRPr="00FD7983">
        <w:rPr>
          <w:rFonts w:ascii="Calibri" w:hAnsi="Calibri" w:cs="Calibri"/>
          <w:szCs w:val="22"/>
        </w:rPr>
        <w:t>po podatkih NIJZ za izvedbo programa cepljenja v obdobju 2020 – 2021 se odhodki za cepiva v letu 2020 povečajo za 1,9 milijona evrov,</w:t>
      </w:r>
    </w:p>
    <w:p w14:paraId="77314558" w14:textId="77777777" w:rsidR="00850857" w:rsidRPr="00FD7983" w:rsidRDefault="00850857" w:rsidP="00850857">
      <w:pPr>
        <w:pStyle w:val="BodyTextIndent22"/>
        <w:numPr>
          <w:ilvl w:val="0"/>
          <w:numId w:val="3"/>
        </w:numPr>
        <w:tabs>
          <w:tab w:val="left" w:pos="426"/>
        </w:tabs>
        <w:autoSpaceDE w:val="0"/>
        <w:autoSpaceDN w:val="0"/>
        <w:adjustRightInd w:val="0"/>
        <w:spacing w:line="240" w:lineRule="auto"/>
        <w:ind w:left="142" w:firstLine="0"/>
        <w:contextualSpacing/>
        <w:rPr>
          <w:rFonts w:ascii="Calibri" w:hAnsi="Calibri" w:cs="Calibri"/>
          <w:szCs w:val="22"/>
        </w:rPr>
      </w:pPr>
      <w:r w:rsidRPr="00FD7983">
        <w:rPr>
          <w:rFonts w:ascii="Calibri" w:hAnsi="Calibri" w:cs="Calibri"/>
          <w:szCs w:val="22"/>
        </w:rPr>
        <w:lastRenderedPageBreak/>
        <w:t>odhodki za zdravljenje v tujini so v letu 2020 ocenjeni z 2,9 % realno rastjo, v letu 2021 pa z 2,6 % realno rastjo zaradi naraščajočega števila napotenih zavarovanih oseb na zdravljenje v tujino, predvsem iz naslova izčrpanih možnosti zdravljenja v Sloveniji,</w:t>
      </w:r>
    </w:p>
    <w:p w14:paraId="383E43DF" w14:textId="77777777" w:rsidR="00850857" w:rsidRPr="00FD7983" w:rsidRDefault="00850857" w:rsidP="00850857">
      <w:pPr>
        <w:pStyle w:val="BodyTextIndent22"/>
        <w:numPr>
          <w:ilvl w:val="0"/>
          <w:numId w:val="3"/>
        </w:numPr>
        <w:tabs>
          <w:tab w:val="left" w:pos="426"/>
        </w:tabs>
        <w:autoSpaceDE w:val="0"/>
        <w:autoSpaceDN w:val="0"/>
        <w:adjustRightInd w:val="0"/>
        <w:spacing w:line="240" w:lineRule="auto"/>
        <w:ind w:left="142" w:firstLine="0"/>
        <w:contextualSpacing/>
        <w:rPr>
          <w:rFonts w:ascii="Calibri" w:hAnsi="Calibri" w:cs="Calibri"/>
          <w:szCs w:val="22"/>
        </w:rPr>
      </w:pPr>
      <w:r w:rsidRPr="00FD7983">
        <w:rPr>
          <w:rFonts w:ascii="Calibri" w:hAnsi="Calibri" w:cs="Calibri"/>
          <w:szCs w:val="22"/>
        </w:rPr>
        <w:t>odhodki za mednarodne sporazume so v letu 2020 ocenjeni s 4,4 % realno rastjo zaradi večje rasti odhodkov tujih zavarovancev v Sloveniji (rast turizma), v letu 2021 pa z 0,1 % realno rastjo,</w:t>
      </w:r>
    </w:p>
    <w:p w14:paraId="47BE8213" w14:textId="1FBFF84A" w:rsidR="00850857" w:rsidRPr="00FD7983" w:rsidRDefault="00850857" w:rsidP="00850857">
      <w:pPr>
        <w:pStyle w:val="BodyTextIndent22"/>
        <w:numPr>
          <w:ilvl w:val="0"/>
          <w:numId w:val="3"/>
        </w:numPr>
        <w:tabs>
          <w:tab w:val="left" w:pos="426"/>
        </w:tabs>
        <w:autoSpaceDE w:val="0"/>
        <w:autoSpaceDN w:val="0"/>
        <w:adjustRightInd w:val="0"/>
        <w:spacing w:line="240" w:lineRule="auto"/>
        <w:ind w:left="142" w:firstLine="0"/>
        <w:contextualSpacing/>
        <w:rPr>
          <w:rFonts w:ascii="Calibri" w:hAnsi="Calibri" w:cs="Calibri"/>
          <w:szCs w:val="22"/>
        </w:rPr>
      </w:pPr>
      <w:r w:rsidRPr="00FD7983">
        <w:rPr>
          <w:rFonts w:ascii="Calibri" w:hAnsi="Calibri" w:cs="Calibri"/>
          <w:szCs w:val="22"/>
        </w:rPr>
        <w:t xml:space="preserve">odhodki za nadomestila plač za čas začasne odsotnosti z dela </w:t>
      </w:r>
      <w:r w:rsidR="009167CA">
        <w:rPr>
          <w:rFonts w:ascii="Calibri" w:hAnsi="Calibri" w:cs="Calibri"/>
          <w:szCs w:val="22"/>
        </w:rPr>
        <w:t>so v letu 2020 predvideni z 9,4</w:t>
      </w:r>
      <w:r w:rsidRPr="00FD7983">
        <w:rPr>
          <w:rFonts w:ascii="Calibri" w:hAnsi="Calibri" w:cs="Calibri"/>
          <w:szCs w:val="22"/>
        </w:rPr>
        <w:t xml:space="preserve"> % nominalno rastjo, v letu 2021 pa z 9,3 % rastjo. Ocena temelji na nominalni rasti povečevanja števila zaposlenih v preteklem in tekočemu letu, nominalni rasti povprečne plače v preteklem letu ter na 1,5 % rasti iz drugih razlo</w:t>
      </w:r>
      <w:r>
        <w:rPr>
          <w:rFonts w:ascii="Calibri" w:hAnsi="Calibri" w:cs="Calibri"/>
          <w:szCs w:val="22"/>
        </w:rPr>
        <w:t>gov.</w:t>
      </w:r>
    </w:p>
    <w:p w14:paraId="624231DE" w14:textId="55C873FD" w:rsidR="00850857" w:rsidRDefault="00850857" w:rsidP="00850857">
      <w:pPr>
        <w:spacing w:line="240" w:lineRule="auto"/>
        <w:ind w:left="142"/>
        <w:rPr>
          <w:rFonts w:cs="Calibri"/>
        </w:rPr>
      </w:pPr>
    </w:p>
    <w:p w14:paraId="748FA6E7" w14:textId="239F82AF" w:rsidR="00850857" w:rsidRDefault="00850857" w:rsidP="00850857">
      <w:pPr>
        <w:pStyle w:val="Odstavekseznama"/>
        <w:ind w:left="142"/>
        <w:jc w:val="both"/>
        <w:rPr>
          <w:rFonts w:cs="Calibri"/>
        </w:rPr>
      </w:pPr>
      <w:r>
        <w:rPr>
          <w:rFonts w:asciiTheme="minorHAnsi" w:hAnsiTheme="minorHAnsi" w:cstheme="minorHAnsi"/>
          <w:sz w:val="22"/>
          <w:szCs w:val="22"/>
        </w:rPr>
        <w:t xml:space="preserve">Upravni odbor ZZZS je danes </w:t>
      </w:r>
      <w:r w:rsidRPr="007F44D4">
        <w:rPr>
          <w:rFonts w:asciiTheme="minorHAnsi" w:hAnsiTheme="minorHAnsi" w:cstheme="minorHAnsi"/>
          <w:sz w:val="22"/>
          <w:szCs w:val="22"/>
        </w:rPr>
        <w:t>globalno projekcijo finančnega poslovanja ZZZS za obdobje 2019 do 2021</w:t>
      </w:r>
      <w:r>
        <w:rPr>
          <w:rFonts w:asciiTheme="minorHAnsi" w:hAnsiTheme="minorHAnsi" w:cstheme="minorHAnsi"/>
          <w:sz w:val="22"/>
          <w:szCs w:val="22"/>
        </w:rPr>
        <w:t xml:space="preserve"> sprejel in </w:t>
      </w:r>
      <w:r w:rsidR="007C4C18">
        <w:rPr>
          <w:rFonts w:asciiTheme="minorHAnsi" w:hAnsiTheme="minorHAnsi" w:cstheme="minorHAnsi"/>
          <w:sz w:val="22"/>
          <w:szCs w:val="22"/>
        </w:rPr>
        <w:t>jo</w:t>
      </w:r>
      <w:r>
        <w:rPr>
          <w:rFonts w:asciiTheme="minorHAnsi" w:hAnsiTheme="minorHAnsi" w:cstheme="minorHAnsi"/>
          <w:sz w:val="22"/>
          <w:szCs w:val="22"/>
        </w:rPr>
        <w:t xml:space="preserve"> posredoval </w:t>
      </w:r>
      <w:r w:rsidRPr="00D054D5">
        <w:rPr>
          <w:rFonts w:asciiTheme="minorHAnsi" w:hAnsiTheme="minorHAnsi" w:cstheme="minorHAnsi"/>
          <w:sz w:val="22"/>
          <w:szCs w:val="22"/>
        </w:rPr>
        <w:t xml:space="preserve">Ministrstvu </w:t>
      </w:r>
      <w:r>
        <w:rPr>
          <w:rFonts w:asciiTheme="minorHAnsi" w:hAnsiTheme="minorHAnsi" w:cstheme="minorHAnsi"/>
          <w:sz w:val="22"/>
          <w:szCs w:val="22"/>
        </w:rPr>
        <w:t>za zdravje, saj</w:t>
      </w:r>
      <w:r w:rsidRPr="00D054D5">
        <w:rPr>
          <w:rFonts w:asciiTheme="minorHAnsi" w:hAnsiTheme="minorHAnsi" w:cstheme="minorHAnsi"/>
          <w:sz w:val="22"/>
          <w:szCs w:val="22"/>
        </w:rPr>
        <w:t xml:space="preserve"> je sestavni del proračunske dokumentacije, ki jo bo Vlada RS posredovala Državnemu zboru </w:t>
      </w:r>
      <w:r w:rsidR="007C4C18">
        <w:rPr>
          <w:rFonts w:asciiTheme="minorHAnsi" w:hAnsiTheme="minorHAnsi" w:cstheme="minorHAnsi"/>
          <w:sz w:val="22"/>
          <w:szCs w:val="22"/>
        </w:rPr>
        <w:t xml:space="preserve">RS </w:t>
      </w:r>
      <w:r w:rsidRPr="00D054D5">
        <w:rPr>
          <w:rFonts w:asciiTheme="minorHAnsi" w:hAnsiTheme="minorHAnsi" w:cstheme="minorHAnsi"/>
          <w:sz w:val="22"/>
          <w:szCs w:val="22"/>
        </w:rPr>
        <w:t>ob predložitvi predloga proračuna Republike Slovenije za naslednji dve leti</w:t>
      </w:r>
      <w:r>
        <w:rPr>
          <w:rFonts w:asciiTheme="minorHAnsi" w:hAnsiTheme="minorHAnsi" w:cstheme="minorHAnsi"/>
          <w:sz w:val="22"/>
          <w:szCs w:val="22"/>
        </w:rPr>
        <w:t>.</w:t>
      </w:r>
      <w:r w:rsidRPr="00D054D5">
        <w:rPr>
          <w:rFonts w:asciiTheme="minorHAnsi" w:hAnsiTheme="minorHAnsi" w:cstheme="minorHAnsi"/>
          <w:sz w:val="22"/>
          <w:szCs w:val="22"/>
        </w:rPr>
        <w:t xml:space="preserve"> </w:t>
      </w:r>
      <w:r>
        <w:rPr>
          <w:rFonts w:asciiTheme="minorHAnsi" w:hAnsiTheme="minorHAnsi" w:cstheme="minorHAnsi"/>
          <w:sz w:val="22"/>
          <w:szCs w:val="22"/>
        </w:rPr>
        <w:t>Hkrati pa je</w:t>
      </w:r>
      <w:r w:rsidRPr="007F44D4">
        <w:rPr>
          <w:rFonts w:asciiTheme="minorHAnsi" w:hAnsiTheme="minorHAnsi" w:cstheme="minorHAnsi"/>
          <w:sz w:val="22"/>
          <w:szCs w:val="22"/>
        </w:rPr>
        <w:t xml:space="preserve"> izhodišče za pripravo predloga finančnega načrta ZZZS za leto 2020 in predloga finančnega načrta ZZZS za leto 2021, ki bosta še letos posredovana organom upravljanja ZZZS v ob</w:t>
      </w:r>
      <w:r>
        <w:rPr>
          <w:rFonts w:asciiTheme="minorHAnsi" w:hAnsiTheme="minorHAnsi" w:cstheme="minorHAnsi"/>
          <w:sz w:val="22"/>
          <w:szCs w:val="22"/>
        </w:rPr>
        <w:t>r</w:t>
      </w:r>
      <w:r w:rsidRPr="00D054D5">
        <w:rPr>
          <w:rFonts w:asciiTheme="minorHAnsi" w:hAnsiTheme="minorHAnsi" w:cstheme="minorHAnsi"/>
          <w:sz w:val="22"/>
          <w:szCs w:val="22"/>
        </w:rPr>
        <w:t xml:space="preserve">avnavo in sprejem. </w:t>
      </w:r>
    </w:p>
    <w:p w14:paraId="29D1752A" w14:textId="77777777" w:rsidR="00850857" w:rsidRDefault="00850857" w:rsidP="00850857">
      <w:pPr>
        <w:autoSpaceDE w:val="0"/>
        <w:autoSpaceDN w:val="0"/>
        <w:adjustRightInd w:val="0"/>
        <w:spacing w:line="240" w:lineRule="auto"/>
        <w:ind w:left="142"/>
        <w:rPr>
          <w:rFonts w:asciiTheme="minorHAnsi" w:hAnsiTheme="minorHAnsi" w:cstheme="minorHAnsi"/>
          <w:bCs/>
          <w:color w:val="000000"/>
        </w:rPr>
      </w:pPr>
    </w:p>
    <w:p w14:paraId="50D62A9B" w14:textId="1341EE32" w:rsidR="001B4A2E" w:rsidRPr="00E505C7" w:rsidRDefault="007C4C18" w:rsidP="007C4C18">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 xml:space="preserve">ZAVOD ZA ZDRAVSTVENO </w:t>
      </w:r>
    </w:p>
    <w:p w14:paraId="432D51F4" w14:textId="3A32DA05" w:rsidR="001B4A2E" w:rsidRPr="00E505C7" w:rsidRDefault="007C4C18" w:rsidP="007C4C18">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ZAVAROVANJE SLOVENIJE</w:t>
      </w:r>
    </w:p>
    <w:p w14:paraId="3CADC8B8" w14:textId="77777777" w:rsidR="001B4A2E" w:rsidRPr="00E505C7" w:rsidRDefault="001B4A2E" w:rsidP="00850857">
      <w:pPr>
        <w:autoSpaceDE w:val="0"/>
        <w:autoSpaceDN w:val="0"/>
        <w:adjustRightInd w:val="0"/>
        <w:spacing w:line="240" w:lineRule="auto"/>
        <w:ind w:left="142"/>
        <w:rPr>
          <w:rFonts w:asciiTheme="minorHAnsi" w:hAnsiTheme="minorHAnsi" w:cstheme="minorHAnsi"/>
          <w:bCs/>
          <w:color w:val="000000"/>
        </w:rPr>
      </w:pPr>
    </w:p>
    <w:p w14:paraId="71FA14D4" w14:textId="77777777" w:rsidR="001B4A2E" w:rsidRDefault="001B4A2E" w:rsidP="00850857">
      <w:pPr>
        <w:spacing w:line="240" w:lineRule="auto"/>
        <w:ind w:left="142"/>
        <w:rPr>
          <w:rFonts w:asciiTheme="minorHAnsi" w:hAnsiTheme="minorHAnsi" w:cstheme="minorHAnsi"/>
          <w:i/>
        </w:rPr>
      </w:pPr>
    </w:p>
    <w:p w14:paraId="4D1FA46B" w14:textId="77777777" w:rsidR="00B500C0" w:rsidRPr="001B4A2E" w:rsidRDefault="00B500C0" w:rsidP="00850857">
      <w:pPr>
        <w:spacing w:line="240" w:lineRule="auto"/>
        <w:ind w:left="142"/>
      </w:pPr>
    </w:p>
    <w:sectPr w:rsidR="00B500C0" w:rsidRPr="001B4A2E" w:rsidSect="00EB67D2">
      <w:footerReference w:type="default" r:id="rId8"/>
      <w:headerReference w:type="first" r:id="rId9"/>
      <w:footerReference w:type="first" r:id="rId10"/>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94080"/>
      <w:docPartObj>
        <w:docPartGallery w:val="Page Numbers (Bottom of Page)"/>
        <w:docPartUnique/>
      </w:docPartObj>
    </w:sdtPr>
    <w:sdtEndPr/>
    <w:sdtContent>
      <w:p w14:paraId="2298FE7A" w14:textId="62EB7D6E" w:rsidR="001B4A2E" w:rsidRDefault="001B4A2E">
        <w:pPr>
          <w:pStyle w:val="Noga"/>
          <w:jc w:val="center"/>
        </w:pPr>
        <w:r>
          <w:fldChar w:fldCharType="begin"/>
        </w:r>
        <w:r>
          <w:instrText>PAGE   \* MERGEFORMAT</w:instrText>
        </w:r>
        <w:r>
          <w:fldChar w:fldCharType="separate"/>
        </w:r>
        <w:r w:rsidR="009167CA">
          <w:rPr>
            <w:noProof/>
          </w:rPr>
          <w:t>4</w:t>
        </w:r>
        <w:r>
          <w:fldChar w:fldCharType="end"/>
        </w:r>
      </w:p>
    </w:sdtContent>
  </w:sdt>
  <w:p w14:paraId="75A52DB8" w14:textId="5C8AA2B3" w:rsidR="00F94033" w:rsidRDefault="00F94033" w:rsidP="004F30B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27A" w14:textId="77777777" w:rsidR="001B4A2E" w:rsidRPr="004D0A69" w:rsidRDefault="001B4A2E" w:rsidP="001B4A2E">
    <w:pPr>
      <w:pStyle w:val="Noga"/>
      <w:pBdr>
        <w:top w:val="single" w:sz="4" w:space="1" w:color="auto"/>
      </w:pBdr>
      <w:tabs>
        <w:tab w:val="left" w:pos="300"/>
      </w:tabs>
      <w:jc w:val="center"/>
      <w:rPr>
        <w:sz w:val="18"/>
      </w:rPr>
    </w:pPr>
    <w:r>
      <w:rPr>
        <w:sz w:val="18"/>
      </w:rPr>
      <w:t>Kontaktna oseba za odnose z javnostmi: Damjan Kos: tel.: 30 77 374, 051 376 214, e-pošta: damjan.kos</w:t>
    </w:r>
    <w:r>
      <w:rPr>
        <w:rFonts w:ascii="Times" w:hAnsi="Times"/>
        <w:sz w:val="18"/>
      </w:rPr>
      <w:t>@</w:t>
    </w:r>
    <w:r>
      <w:rPr>
        <w:sz w:val="18"/>
      </w:rPr>
      <w:t>zzzs.si</w:t>
    </w:r>
  </w:p>
  <w:p w14:paraId="551D3517" w14:textId="77777777" w:rsidR="001B4A2E" w:rsidRDefault="001B4A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 w:id="1">
    <w:p w14:paraId="5948C9E6" w14:textId="77777777" w:rsidR="00850857" w:rsidRPr="00AA5442" w:rsidRDefault="00850857" w:rsidP="00850857">
      <w:pPr>
        <w:pStyle w:val="Sprotnaopomba-besedilo"/>
        <w:jc w:val="both"/>
        <w:rPr>
          <w:rFonts w:asciiTheme="minorHAnsi" w:hAnsiTheme="minorHAnsi" w:cstheme="minorHAnsi"/>
          <w:lang w:val="sl-SI"/>
        </w:rPr>
      </w:pPr>
      <w:r w:rsidRPr="00AA5442">
        <w:rPr>
          <w:rStyle w:val="Sprotnaopomba-sklic"/>
          <w:rFonts w:asciiTheme="minorHAnsi" w:hAnsiTheme="minorHAnsi" w:cstheme="minorHAnsi"/>
        </w:rPr>
        <w:footnoteRef/>
      </w:r>
      <w:r w:rsidRPr="00AA5442">
        <w:rPr>
          <w:rFonts w:asciiTheme="minorHAnsi" w:hAnsiTheme="minorHAnsi" w:cstheme="minorHAnsi"/>
        </w:rPr>
        <w:t xml:space="preserve"> </w:t>
      </w:r>
      <w:r w:rsidRPr="00AA5442">
        <w:rPr>
          <w:rFonts w:asciiTheme="minorHAnsi" w:hAnsiTheme="minorHAnsi" w:cstheme="minorHAnsi"/>
          <w:lang w:val="sl-SI"/>
        </w:rPr>
        <w:t>Skupna trajno povečana sredstva za skrajšanje čakalnih dob v obdobju 2018-2020 znašajo 60 milijonov evrov, od tega je bilo 35 milijonov evrov zagotovljenih v letu 2019, še dodatnih 5 milijonov evrov, pa se zagotovi v letu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77777777" w:rsidR="00F94033" w:rsidRPr="007B6600" w:rsidRDefault="00CC1590" w:rsidP="00CC1590">
          <w:pPr>
            <w:pStyle w:val="Glava"/>
            <w:jc w:val="right"/>
          </w:pPr>
          <w:r>
            <w:rPr>
              <w:noProof/>
            </w:rPr>
            <w:drawing>
              <wp:inline distT="0" distB="0" distL="0" distR="0" wp14:anchorId="75A52DD2" wp14:editId="75A52DD3">
                <wp:extent cx="564809" cy="555625"/>
                <wp:effectExtent l="0" t="0" r="698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130.jpg"/>
                        <pic:cNvPicPr/>
                      </pic:nvPicPr>
                      <pic:blipFill>
                        <a:blip r:embed="rId3">
                          <a:extLst>
                            <a:ext uri="{28A0092B-C50C-407E-A947-70E740481C1C}">
                              <a14:useLocalDpi xmlns:a14="http://schemas.microsoft.com/office/drawing/2010/main" val="0"/>
                            </a:ext>
                          </a:extLst>
                        </a:blip>
                        <a:stretch>
                          <a:fillRect/>
                        </a:stretch>
                      </pic:blipFill>
                      <pic:spPr>
                        <a:xfrm>
                          <a:off x="0" y="0"/>
                          <a:ext cx="586514" cy="576977"/>
                        </a:xfrm>
                        <a:prstGeom prst="rect">
                          <a:avLst/>
                        </a:prstGeom>
                      </pic:spPr>
                    </pic:pic>
                  </a:graphicData>
                </a:graphic>
              </wp:inline>
            </w:drawing>
          </w: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9"/>
    <w:rsid w:val="000137D8"/>
    <w:rsid w:val="000A441F"/>
    <w:rsid w:val="000E358F"/>
    <w:rsid w:val="000F0656"/>
    <w:rsid w:val="00171896"/>
    <w:rsid w:val="001A2413"/>
    <w:rsid w:val="001B4A2E"/>
    <w:rsid w:val="001D7724"/>
    <w:rsid w:val="001F51E9"/>
    <w:rsid w:val="00227A5F"/>
    <w:rsid w:val="002B1629"/>
    <w:rsid w:val="002D59C9"/>
    <w:rsid w:val="002E1968"/>
    <w:rsid w:val="002F28F6"/>
    <w:rsid w:val="00390C85"/>
    <w:rsid w:val="00394D62"/>
    <w:rsid w:val="003A6F9A"/>
    <w:rsid w:val="003E3CDC"/>
    <w:rsid w:val="00405263"/>
    <w:rsid w:val="0045154F"/>
    <w:rsid w:val="004D0094"/>
    <w:rsid w:val="004F30B9"/>
    <w:rsid w:val="004F7646"/>
    <w:rsid w:val="00512473"/>
    <w:rsid w:val="00565045"/>
    <w:rsid w:val="0059766B"/>
    <w:rsid w:val="005C199C"/>
    <w:rsid w:val="005D1EDF"/>
    <w:rsid w:val="00614ACE"/>
    <w:rsid w:val="0062099F"/>
    <w:rsid w:val="0062282A"/>
    <w:rsid w:val="00635D42"/>
    <w:rsid w:val="00692020"/>
    <w:rsid w:val="006B28F6"/>
    <w:rsid w:val="00733719"/>
    <w:rsid w:val="007529CA"/>
    <w:rsid w:val="007568F4"/>
    <w:rsid w:val="0078584A"/>
    <w:rsid w:val="007A6AE9"/>
    <w:rsid w:val="007B6600"/>
    <w:rsid w:val="007C4C18"/>
    <w:rsid w:val="00850857"/>
    <w:rsid w:val="00856E9D"/>
    <w:rsid w:val="008F4AC8"/>
    <w:rsid w:val="00915A1F"/>
    <w:rsid w:val="009167CA"/>
    <w:rsid w:val="00945904"/>
    <w:rsid w:val="009636B2"/>
    <w:rsid w:val="00970C05"/>
    <w:rsid w:val="00975D36"/>
    <w:rsid w:val="009C248B"/>
    <w:rsid w:val="009F5A6E"/>
    <w:rsid w:val="009F7970"/>
    <w:rsid w:val="00A06088"/>
    <w:rsid w:val="00A84C2D"/>
    <w:rsid w:val="00AB7F71"/>
    <w:rsid w:val="00AD6921"/>
    <w:rsid w:val="00AD77F5"/>
    <w:rsid w:val="00B500C0"/>
    <w:rsid w:val="00BD4484"/>
    <w:rsid w:val="00BF55B1"/>
    <w:rsid w:val="00C06442"/>
    <w:rsid w:val="00C46D94"/>
    <w:rsid w:val="00C71901"/>
    <w:rsid w:val="00CA583C"/>
    <w:rsid w:val="00CC1590"/>
    <w:rsid w:val="00CD4C02"/>
    <w:rsid w:val="00CE24E4"/>
    <w:rsid w:val="00DA2337"/>
    <w:rsid w:val="00DB14AC"/>
    <w:rsid w:val="00DD168B"/>
    <w:rsid w:val="00DE4228"/>
    <w:rsid w:val="00DF1130"/>
    <w:rsid w:val="00E84360"/>
    <w:rsid w:val="00EA172B"/>
    <w:rsid w:val="00EA6A40"/>
    <w:rsid w:val="00EB67D2"/>
    <w:rsid w:val="00EC46ED"/>
    <w:rsid w:val="00ED2B37"/>
    <w:rsid w:val="00EE7738"/>
    <w:rsid w:val="00F200CB"/>
    <w:rsid w:val="00F20F75"/>
    <w:rsid w:val="00F6421A"/>
    <w:rsid w:val="00F90CB8"/>
    <w:rsid w:val="00F94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ED86-7052-414D-BC99-939DD2BC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8912</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10455</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3</cp:revision>
  <cp:lastPrinted>2019-09-16T07:57:00Z</cp:lastPrinted>
  <dcterms:created xsi:type="dcterms:W3CDTF">2019-09-16T08:35:00Z</dcterms:created>
  <dcterms:modified xsi:type="dcterms:W3CDTF">2019-09-16T13:19:00Z</dcterms:modified>
</cp:coreProperties>
</file>